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CA" w:rsidRDefault="006E0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4 </w:t>
      </w:r>
      <w:proofErr w:type="gramStart"/>
      <w:r>
        <w:rPr>
          <w:b/>
          <w:sz w:val="28"/>
          <w:szCs w:val="28"/>
        </w:rPr>
        <w:t>-  Formation</w:t>
      </w:r>
      <w:proofErr w:type="gramEnd"/>
      <w:r>
        <w:rPr>
          <w:b/>
          <w:sz w:val="28"/>
          <w:szCs w:val="28"/>
        </w:rPr>
        <w:t xml:space="preserve"> M8 &amp; C8</w:t>
      </w:r>
      <w:r w:rsidR="00660E0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Mettre en relation activités et compétences mobilisées </w:t>
      </w:r>
    </w:p>
    <w:p w:rsidR="00A836CA" w:rsidRDefault="006E0892" w:rsidP="0078326D">
      <w:pPr>
        <w:shd w:val="clear" w:color="auto" w:fill="FFFF0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Repérer des compétences et Outils pour différentes situations : proposition d’un tableau outil de recueil d’informations</w:t>
      </w:r>
    </w:p>
    <w:p w:rsidR="00A836CA" w:rsidRDefault="006E0892">
      <w:pPr>
        <w:shd w:val="clear" w:color="auto" w:fill="FFFF0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 tableau est </w:t>
      </w:r>
      <w:r w:rsidR="0078326D">
        <w:rPr>
          <w:b/>
          <w:sz w:val="28"/>
          <w:szCs w:val="28"/>
        </w:rPr>
        <w:t>un</w:t>
      </w:r>
      <w:r>
        <w:rPr>
          <w:b/>
          <w:sz w:val="28"/>
          <w:szCs w:val="28"/>
        </w:rPr>
        <w:t xml:space="preserve"> document de recueil fil rouge complété au fil de la formation</w:t>
      </w:r>
      <w:r w:rsidR="0078326D">
        <w:rPr>
          <w:b/>
          <w:sz w:val="28"/>
          <w:szCs w:val="28"/>
        </w:rPr>
        <w:t xml:space="preserve"> (PNF </w:t>
      </w:r>
      <w:r w:rsidR="00660E04">
        <w:rPr>
          <w:b/>
          <w:sz w:val="28"/>
          <w:szCs w:val="28"/>
        </w:rPr>
        <w:t>organisé par l’ENSFEA</w:t>
      </w:r>
      <w:r w:rsidR="0078326D">
        <w:rPr>
          <w:b/>
          <w:sz w:val="28"/>
          <w:szCs w:val="28"/>
        </w:rPr>
        <w:t xml:space="preserve"> sur la C8 M8 des BTSA rénové ACD MVAOE Viti </w:t>
      </w:r>
      <w:proofErr w:type="spellStart"/>
      <w:r w:rsidR="0078326D">
        <w:rPr>
          <w:b/>
          <w:sz w:val="28"/>
          <w:szCs w:val="28"/>
        </w:rPr>
        <w:t>Oeno</w:t>
      </w:r>
      <w:proofErr w:type="spellEnd"/>
      <w:r w:rsidR="0078326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 Les colonnes 2, 3 et 4 sont à compléter et le tableau est à organiser</w:t>
      </w:r>
    </w:p>
    <w:tbl>
      <w:tblPr>
        <w:tblStyle w:val="a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977"/>
        <w:gridCol w:w="2977"/>
        <w:gridCol w:w="3402"/>
      </w:tblGrid>
      <w:tr w:rsidR="00A836CA">
        <w:tc>
          <w:tcPr>
            <w:tcW w:w="13887" w:type="dxa"/>
            <w:gridSpan w:val="4"/>
            <w:shd w:val="clear" w:color="auto" w:fill="BFBFBF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En qualité d’accompagnateur d’un agriculteur ou d’un collectif en dynamique de changement complété à partir des photos et du témoignage de Bertrand puis au fil de la formation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J’ai besoin de faire quoi ?</w:t>
            </w:r>
          </w:p>
          <w:p w:rsidR="00A836CA" w:rsidRDefault="00A836CA">
            <w:pPr>
              <w:rPr>
                <w:b/>
              </w:rPr>
            </w:pP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Finalité – Buts - visées</w:t>
            </w:r>
          </w:p>
        </w:tc>
        <w:tc>
          <w:tcPr>
            <w:tcW w:w="2977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Je peux m’appuyer sur quoi ?</w:t>
            </w:r>
          </w:p>
          <w:p w:rsidR="00A836CA" w:rsidRDefault="00A836CA">
            <w:pPr>
              <w:rPr>
                <w:b/>
              </w:rPr>
            </w:pP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Objets intermédiaires - Matériau dans l’interaction</w:t>
            </w:r>
          </w:p>
        </w:tc>
        <w:tc>
          <w:tcPr>
            <w:tcW w:w="2977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Quels outils ou méthodes je peux utiliser ?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Outils et méthodes</w:t>
            </w:r>
          </w:p>
        </w:tc>
        <w:tc>
          <w:tcPr>
            <w:tcW w:w="3402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Je peux le formaliser comment pour arriver au but poursuivi ?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Formalisation possible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pPr>
              <w:rPr>
                <w:i/>
              </w:rPr>
            </w:pPr>
            <w:r>
              <w:t xml:space="preserve">Comprendre la logique de l’agriculteur, ses attendus vis-à-vis du système, ses critères et indicateurs de réussite </w:t>
            </w:r>
            <w:r>
              <w:rPr>
                <w:i/>
              </w:rPr>
              <w:t>stratégique pour comprendre la nuance entre conseil et accompagnement, ce qui est négociable, ce qu’il veut, ce qu’il ne veut pas. Ne pas aller sur la dimension interprétative</w:t>
            </w:r>
          </w:p>
          <w:p w:rsidR="00A836CA" w:rsidRDefault="00A836CA"/>
        </w:tc>
        <w:tc>
          <w:tcPr>
            <w:tcW w:w="2977" w:type="dxa"/>
          </w:tcPr>
          <w:p w:rsidR="00A836CA" w:rsidRDefault="006E0892">
            <w:r>
              <w:t>Recueil d’informations validées</w:t>
            </w:r>
          </w:p>
        </w:tc>
        <w:tc>
          <w:tcPr>
            <w:tcW w:w="2977" w:type="dxa"/>
          </w:tcPr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 xml:space="preserve">Enquête 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Entretien semi directif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Tour de champ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Tour de plaine différé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Analyse des échecs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Reformulation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42"/>
            </w:pPr>
            <w:r>
              <w:t>Explicitation (entretien d’explicitation)</w:t>
            </w:r>
          </w:p>
        </w:tc>
        <w:tc>
          <w:tcPr>
            <w:tcW w:w="3402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Schéma décisionnel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</w:rPr>
              <w:t>Tableau de bord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r>
              <w:t xml:space="preserve">S’approprier le contexte et les enjeux </w:t>
            </w:r>
          </w:p>
        </w:tc>
        <w:tc>
          <w:tcPr>
            <w:tcW w:w="2977" w:type="dxa"/>
          </w:tcPr>
          <w:p w:rsidR="00A836CA" w:rsidRDefault="006E0892">
            <w:r>
              <w:t xml:space="preserve">Panorama des acteurs </w:t>
            </w:r>
            <w:proofErr w:type="spellStart"/>
            <w:r>
              <w:t>socio économiques</w:t>
            </w:r>
            <w:proofErr w:type="spellEnd"/>
            <w:r>
              <w:t xml:space="preserve"> dans le territoire</w:t>
            </w:r>
          </w:p>
          <w:p w:rsidR="00A836CA" w:rsidRDefault="006E0892">
            <w:r>
              <w:t>Rencontre d’acteurs</w:t>
            </w:r>
          </w:p>
          <w:p w:rsidR="00A836CA" w:rsidRDefault="006E0892">
            <w:r>
              <w:t>Bibliographie</w:t>
            </w:r>
          </w:p>
          <w:p w:rsidR="00A836CA" w:rsidRDefault="006E0892">
            <w:r>
              <w:t>Comptes-rendus de réunion</w:t>
            </w:r>
          </w:p>
          <w:p w:rsidR="00A836CA" w:rsidRDefault="006E0892">
            <w:r>
              <w:t>Evaluation de systèmes</w:t>
            </w:r>
          </w:p>
          <w:p w:rsidR="00A836CA" w:rsidRDefault="006E0892">
            <w:r>
              <w:t>Rapports expertise</w:t>
            </w:r>
          </w:p>
        </w:tc>
        <w:tc>
          <w:tcPr>
            <w:tcW w:w="2977" w:type="dxa"/>
          </w:tcPr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 xml:space="preserve">Grille </w:t>
            </w:r>
            <w:proofErr w:type="spellStart"/>
            <w:r>
              <w:t>swot</w:t>
            </w:r>
            <w:proofErr w:type="spellEnd"/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Lecture de paysage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Entretiens</w:t>
            </w:r>
          </w:p>
          <w:p w:rsidR="00A836CA" w:rsidRDefault="006E08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42"/>
            </w:pPr>
            <w:r>
              <w:t>Représentations systémiques</w:t>
            </w:r>
          </w:p>
        </w:tc>
        <w:tc>
          <w:tcPr>
            <w:tcW w:w="3402" w:type="dxa"/>
          </w:tcPr>
          <w:p w:rsidR="00A836CA" w:rsidRDefault="006E0892">
            <w:pPr>
              <w:ind w:left="36"/>
            </w:pPr>
            <w:r>
              <w:t xml:space="preserve">Grille </w:t>
            </w:r>
            <w:proofErr w:type="spellStart"/>
            <w:r>
              <w:t>swot</w:t>
            </w:r>
            <w:proofErr w:type="spellEnd"/>
          </w:p>
          <w:p w:rsidR="00A836CA" w:rsidRDefault="006E0892">
            <w:pPr>
              <w:ind w:left="36"/>
            </w:pPr>
            <w:r>
              <w:t>Schémas</w:t>
            </w:r>
          </w:p>
          <w:p w:rsidR="00A836CA" w:rsidRDefault="006E0892">
            <w:pPr>
              <w:ind w:left="36"/>
            </w:pPr>
            <w:r>
              <w:t>Cartes thématiques</w:t>
            </w:r>
          </w:p>
          <w:p w:rsidR="00A836CA" w:rsidRDefault="006E0892">
            <w:pPr>
              <w:ind w:left="36"/>
            </w:pPr>
            <w:r>
              <w:t>Cartes heuristiques</w:t>
            </w:r>
          </w:p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lastRenderedPageBreak/>
              <w:t>Faire exprimer à l’agriculteur ou au collectif ce qui fait question pour lui(eux)</w:t>
            </w:r>
          </w:p>
        </w:tc>
        <w:tc>
          <w:tcPr>
            <w:tcW w:w="2977" w:type="dxa"/>
          </w:tcPr>
          <w:p w:rsidR="00A836CA" w:rsidRDefault="006E0892">
            <w:r>
              <w:t xml:space="preserve">Echanges </w:t>
            </w:r>
          </w:p>
          <w:p w:rsidR="00A836CA" w:rsidRDefault="00A836CA"/>
          <w:p w:rsidR="00A836CA" w:rsidRDefault="00A836CA"/>
          <w:p w:rsidR="00A836CA" w:rsidRDefault="00A836CA"/>
        </w:tc>
        <w:tc>
          <w:tcPr>
            <w:tcW w:w="2977" w:type="dxa"/>
          </w:tcPr>
          <w:p w:rsidR="00A836CA" w:rsidRDefault="006E08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Analyse des résultats à échéance, de l’année et sur du temps plus long</w:t>
            </w:r>
          </w:p>
          <w:p w:rsidR="00A836CA" w:rsidRDefault="006E08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 xml:space="preserve">Mise en évidence des évolutions individuelles et collectives </w:t>
            </w:r>
          </w:p>
          <w:p w:rsidR="00A836CA" w:rsidRDefault="006E08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AGEA, PERFEA…</w:t>
            </w:r>
          </w:p>
          <w:p w:rsidR="00A836CA" w:rsidRDefault="006E08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Reformulations</w:t>
            </w:r>
          </w:p>
          <w:p w:rsidR="00A836CA" w:rsidRDefault="006E08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42"/>
            </w:pPr>
            <w:r>
              <w:t>Recueil des indicateurs de réussite de chacun</w:t>
            </w:r>
          </w:p>
        </w:tc>
        <w:tc>
          <w:tcPr>
            <w:tcW w:w="3402" w:type="dxa"/>
          </w:tcPr>
          <w:p w:rsidR="00A836CA" w:rsidRDefault="006E0892">
            <w:r>
              <w:t>Problématique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</w:rPr>
              <w:t>Chaines causales</w:t>
            </w:r>
          </w:p>
          <w:p w:rsidR="00A836CA" w:rsidRDefault="006E0892">
            <w:r>
              <w:t>Frise historique légendée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</w:rPr>
              <w:t xml:space="preserve">Schémas </w:t>
            </w:r>
            <w:proofErr w:type="spellStart"/>
            <w:r>
              <w:rPr>
                <w:b/>
              </w:rPr>
              <w:t>Stephy</w:t>
            </w:r>
            <w:proofErr w:type="spellEnd"/>
          </w:p>
          <w:p w:rsidR="00A836CA" w:rsidRDefault="006E0892">
            <w:pPr>
              <w:rPr>
                <w:b/>
              </w:rPr>
            </w:pPr>
            <w:r>
              <w:rPr>
                <w:b/>
              </w:rPr>
              <w:t>Evaluation multicritère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r>
              <w:t>Faire évoluer les acteurs (leurs représentations vis-à-vis de leurs résultats, vis-à-vis des attendus des autres acteurs, vis-à-vis de leurs possibles ou pas…), enclencher une boucle de progrès</w:t>
            </w:r>
          </w:p>
        </w:tc>
        <w:tc>
          <w:tcPr>
            <w:tcW w:w="2977" w:type="dxa"/>
          </w:tcPr>
          <w:p w:rsidR="00A836CA" w:rsidRDefault="006E0892">
            <w:r>
              <w:t>Objet de controverses Confronter les points de vue</w:t>
            </w:r>
          </w:p>
          <w:p w:rsidR="00A836CA" w:rsidRDefault="006E0892">
            <w:r>
              <w:t>Scénario</w:t>
            </w:r>
          </w:p>
        </w:tc>
        <w:tc>
          <w:tcPr>
            <w:tcW w:w="2977" w:type="dxa"/>
          </w:tcPr>
          <w:p w:rsidR="00A836CA" w:rsidRDefault="006E08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Débat</w:t>
            </w:r>
          </w:p>
          <w:p w:rsidR="00A836CA" w:rsidRDefault="006E08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Vis ma vie</w:t>
            </w:r>
          </w:p>
          <w:p w:rsidR="00A836CA" w:rsidRDefault="006E08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Modélisation</w:t>
            </w:r>
          </w:p>
          <w:p w:rsidR="00A836CA" w:rsidRDefault="006E08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Atelier de scénarios du futur</w:t>
            </w:r>
          </w:p>
          <w:p w:rsidR="00A836CA" w:rsidRDefault="006E08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Atelier d’accélérateur de projets</w:t>
            </w:r>
          </w:p>
          <w:p w:rsidR="00A836CA" w:rsidRDefault="006E08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42"/>
            </w:pPr>
            <w:r>
              <w:t>Atelier de co-construction de scénarios pour assurer la même fonction</w:t>
            </w:r>
          </w:p>
        </w:tc>
        <w:tc>
          <w:tcPr>
            <w:tcW w:w="3402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 xml:space="preserve">Ateliers de </w:t>
            </w:r>
            <w:proofErr w:type="spellStart"/>
            <w:r>
              <w:rPr>
                <w:b/>
              </w:rPr>
              <w:t>co</w:t>
            </w:r>
            <w:proofErr w:type="spellEnd"/>
            <w:r>
              <w:rPr>
                <w:b/>
              </w:rPr>
              <w:t xml:space="preserve"> conception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r>
              <w:t>Elaborer un scénario pour baliser le changement</w:t>
            </w:r>
          </w:p>
        </w:tc>
        <w:tc>
          <w:tcPr>
            <w:tcW w:w="2977" w:type="dxa"/>
          </w:tcPr>
          <w:p w:rsidR="00A836CA" w:rsidRDefault="006E0892">
            <w:r>
              <w:t>Echanges</w:t>
            </w:r>
          </w:p>
        </w:tc>
        <w:tc>
          <w:tcPr>
            <w:tcW w:w="2977" w:type="dxa"/>
          </w:tcPr>
          <w:p w:rsidR="00A836CA" w:rsidRDefault="006E08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42"/>
            </w:pPr>
            <w:r>
              <w:t xml:space="preserve">Atelier de </w:t>
            </w:r>
            <w:proofErr w:type="spellStart"/>
            <w:r>
              <w:t>co-conception</w:t>
            </w:r>
            <w:proofErr w:type="spellEnd"/>
          </w:p>
        </w:tc>
        <w:tc>
          <w:tcPr>
            <w:tcW w:w="3402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Chaînes causales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</w:rPr>
              <w:t>Schéma décisionnel prévisionnel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r>
              <w:t>Mesurer les progrès, vérifier que le changement est dans le bon sens</w:t>
            </w:r>
          </w:p>
        </w:tc>
        <w:tc>
          <w:tcPr>
            <w:tcW w:w="2977" w:type="dxa"/>
          </w:tcPr>
          <w:p w:rsidR="00A836CA" w:rsidRDefault="006E0892">
            <w:r>
              <w:t xml:space="preserve">Mesures objectives et adaptées aux objectifs </w:t>
            </w:r>
          </w:p>
        </w:tc>
        <w:tc>
          <w:tcPr>
            <w:tcW w:w="2977" w:type="dxa"/>
          </w:tcPr>
          <w:p w:rsidR="00A836CA" w:rsidRDefault="006E08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42"/>
            </w:pPr>
            <w:r>
              <w:t>Batterie d’indicateurs</w:t>
            </w:r>
          </w:p>
          <w:p w:rsidR="00A836CA" w:rsidRDefault="006E08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42"/>
            </w:pPr>
            <w:r>
              <w:t>Tableau de bord (notion de temporalité des mesures)</w:t>
            </w:r>
          </w:p>
        </w:tc>
        <w:tc>
          <w:tcPr>
            <w:tcW w:w="3402" w:type="dxa"/>
          </w:tcPr>
          <w:p w:rsidR="00A836CA" w:rsidRDefault="006E0892">
            <w:r>
              <w:t>Tableau de bord dynamique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r>
              <w:t>Proposer des scénarii</w:t>
            </w:r>
          </w:p>
        </w:tc>
        <w:tc>
          <w:tcPr>
            <w:tcW w:w="2977" w:type="dxa"/>
          </w:tcPr>
          <w:p w:rsidR="00A836CA" w:rsidRDefault="006E0892">
            <w:r>
              <w:t>Savoirs agronomiques</w:t>
            </w:r>
          </w:p>
          <w:p w:rsidR="00A836CA" w:rsidRDefault="00A836CA"/>
          <w:p w:rsidR="00A836CA" w:rsidRDefault="00A836CA"/>
        </w:tc>
        <w:tc>
          <w:tcPr>
            <w:tcW w:w="2977" w:type="dxa"/>
          </w:tcPr>
          <w:p w:rsidR="00A836CA" w:rsidRDefault="006E0892">
            <w:pPr>
              <w:ind w:left="178" w:hanging="142"/>
            </w:pPr>
            <w:r>
              <w:t>Acquis des modules pro</w:t>
            </w:r>
          </w:p>
        </w:tc>
        <w:tc>
          <w:tcPr>
            <w:tcW w:w="3402" w:type="dxa"/>
          </w:tcPr>
          <w:p w:rsidR="00A836CA" w:rsidRDefault="006E0892">
            <w:proofErr w:type="gramStart"/>
            <w:r>
              <w:t>carte</w:t>
            </w:r>
            <w:proofErr w:type="gramEnd"/>
            <w:r>
              <w:t xml:space="preserve"> des idées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r>
              <w:t>Faire émerger toutes les facettes d’une situation agissante</w:t>
            </w:r>
          </w:p>
        </w:tc>
        <w:tc>
          <w:tcPr>
            <w:tcW w:w="2977" w:type="dxa"/>
          </w:tcPr>
          <w:p w:rsidR="00A836CA" w:rsidRDefault="006E0892">
            <w:r>
              <w:t>Sur ce qu’en dit l’acteur, informations validées</w:t>
            </w:r>
          </w:p>
        </w:tc>
        <w:tc>
          <w:tcPr>
            <w:tcW w:w="2977" w:type="dxa"/>
          </w:tcPr>
          <w:p w:rsidR="00A836CA" w:rsidRDefault="006E0892">
            <w:pPr>
              <w:ind w:left="178" w:hanging="142"/>
            </w:pPr>
            <w:r>
              <w:t>Explicitation</w:t>
            </w:r>
          </w:p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13887" w:type="dxa"/>
            <w:gridSpan w:val="4"/>
            <w:shd w:val="clear" w:color="auto" w:fill="BFBFBF"/>
          </w:tcPr>
          <w:p w:rsidR="00A836CA" w:rsidRDefault="006E0892">
            <w:bookmarkStart w:id="0" w:name="_heading=h.gjdgxs" w:colFirst="0" w:colLast="0"/>
            <w:bookmarkEnd w:id="0"/>
            <w:r>
              <w:rPr>
                <w:b/>
              </w:rPr>
              <w:lastRenderedPageBreak/>
              <w:t>En qualité d’enseignant en charge de former au M8 et donc de préparer les apprenants à l’atteinte des capacités du bloc 8</w:t>
            </w:r>
          </w:p>
        </w:tc>
      </w:tr>
      <w:tr w:rsidR="00A836CA">
        <w:tc>
          <w:tcPr>
            <w:tcW w:w="4531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J’ai besoin de faire acquérir quoi ?</w:t>
            </w:r>
          </w:p>
          <w:p w:rsidR="00A836CA" w:rsidRDefault="00A836CA">
            <w:pPr>
              <w:rPr>
                <w:b/>
              </w:rPr>
            </w:pP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Compétences, apprentissages</w:t>
            </w:r>
          </w:p>
        </w:tc>
        <w:tc>
          <w:tcPr>
            <w:tcW w:w="2977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Je peux m’appuyer sur quoi ?</w:t>
            </w:r>
          </w:p>
          <w:p w:rsidR="00A836CA" w:rsidRDefault="00A836CA">
            <w:pPr>
              <w:rPr>
                <w:b/>
                <w:highlight w:val="lightGray"/>
              </w:rPr>
            </w:pP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Matériau, situation d’apprentissage, questionnements</w:t>
            </w:r>
          </w:p>
        </w:tc>
        <w:tc>
          <w:tcPr>
            <w:tcW w:w="2977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Quels outils ou méthodes je peux utiliser ?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Outils et méthodes</w:t>
            </w:r>
          </w:p>
        </w:tc>
        <w:tc>
          <w:tcPr>
            <w:tcW w:w="3402" w:type="dxa"/>
          </w:tcPr>
          <w:p w:rsidR="00A836CA" w:rsidRDefault="006E0892">
            <w:pPr>
              <w:rPr>
                <w:b/>
              </w:rPr>
            </w:pPr>
            <w:r>
              <w:rPr>
                <w:b/>
              </w:rPr>
              <w:t>Je peux le formaliser comment pour permettre le transfert ?</w:t>
            </w:r>
          </w:p>
          <w:p w:rsidR="00A836CA" w:rsidRDefault="006E0892">
            <w:pPr>
              <w:rPr>
                <w:b/>
              </w:rPr>
            </w:pPr>
            <w:r>
              <w:rPr>
                <w:b/>
                <w:highlight w:val="lightGray"/>
              </w:rPr>
              <w:t>Trace, capitalisation des savoirs et évaluation</w:t>
            </w:r>
          </w:p>
        </w:tc>
      </w:tr>
      <w:tr w:rsidR="00A836CA">
        <w:tc>
          <w:tcPr>
            <w:tcW w:w="4531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  <w:shd w:val="clear" w:color="auto" w:fill="FFFFFF"/>
          </w:tcPr>
          <w:p w:rsidR="00A836CA" w:rsidRDefault="006E0892">
            <w:r>
              <w:t xml:space="preserve">Cf. colonne Outils et méthodes de la partie </w:t>
            </w:r>
            <w:r>
              <w:rPr>
                <w:b/>
              </w:rPr>
              <w:t xml:space="preserve">En qualité d’accompagnateur d’un agriculteur ou d’un collectif en dynamique de changement </w:t>
            </w:r>
            <w:r>
              <w:t>et à partir de là compléter avec les enseignants au cours du stage, les autres cases (notre fil rouge)</w:t>
            </w:r>
          </w:p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Capacité à faire expliciter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Rédiger un courrier d'invitation à une réunion technique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Mettre en relation des producteurs avec d’autres qui ont essayé des choses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Repérer des plans d’action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Rédaction d’un compte rendu de réunion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Élaboration de supports (</w:t>
            </w:r>
            <w:proofErr w:type="spellStart"/>
            <w:r>
              <w:t>ppt</w:t>
            </w:r>
            <w:proofErr w:type="spellEnd"/>
            <w:r>
              <w:t>, …)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Préparation d’une réunion technique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Fédérer un collectif</w:t>
            </w:r>
          </w:p>
        </w:tc>
        <w:tc>
          <w:tcPr>
            <w:tcW w:w="2977" w:type="dxa"/>
          </w:tcPr>
          <w:p w:rsidR="00A836CA" w:rsidRDefault="006E0892">
            <w:r>
              <w:t>Trouver la bonne problématique</w:t>
            </w:r>
          </w:p>
        </w:tc>
        <w:tc>
          <w:tcPr>
            <w:tcW w:w="2977" w:type="dxa"/>
          </w:tcPr>
          <w:p w:rsidR="00A836CA" w:rsidRDefault="006E0892">
            <w:proofErr w:type="gramStart"/>
            <w:r>
              <w:t>profiter</w:t>
            </w:r>
            <w:proofErr w:type="gramEnd"/>
            <w:r>
              <w:t xml:space="preserve"> d’un salon réalisé sur le territoire (évènement qui existe déjà, fédérateur pour les agriculteurs)</w:t>
            </w: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Etude technico économique (simulations) outil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Identification d’enjeux à différentes échelles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proofErr w:type="gramStart"/>
            <w:r>
              <w:t>démarche</w:t>
            </w:r>
            <w:proofErr w:type="gramEnd"/>
            <w:r>
              <w:t xml:space="preserve"> exploratoire déployée à partir de l’observation d’un dégât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lastRenderedPageBreak/>
              <w:t>Mettre en place des expérimentations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Communiquer des résultats d’expérimentation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Identifier les éléments de contexte (dont la question des mandats)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Place de l’individuel et du collectif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Mise en exergue des éléments saillants d’une situation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Identification des éléments génériques, des éléments propres à la situation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Solliciter des agriculteurs pour créer un groupe de pairs</w:t>
            </w: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3402" w:type="dxa"/>
          </w:tcPr>
          <w:p w:rsidR="00A836CA" w:rsidRDefault="00A836CA">
            <w:pPr>
              <w:rPr>
                <w:color w:val="A64D79"/>
              </w:rPr>
            </w:pPr>
          </w:p>
        </w:tc>
      </w:tr>
      <w:tr w:rsidR="00A836CA">
        <w:tc>
          <w:tcPr>
            <w:tcW w:w="4531" w:type="dxa"/>
          </w:tcPr>
          <w:p w:rsidR="00A836CA" w:rsidRDefault="006E0892">
            <w:r>
              <w:t>Identifier une problématique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Diffusion de résultats à d’autres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Rassurer des agriculteurs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Apporter des éléments techniques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Partage d’expérience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Maintenir un groupe en action et dans la dynamique</w:t>
            </w:r>
          </w:p>
        </w:tc>
        <w:tc>
          <w:tcPr>
            <w:tcW w:w="2977" w:type="dxa"/>
          </w:tcPr>
          <w:p w:rsidR="00A836CA" w:rsidRDefault="006E0892">
            <w:r>
              <w:t>Bulletin collectif, je donne des info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Montrer des résultats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Formation d’hypothèses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Veille technique, veille sur l’animation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Biblio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Création de réseau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Animation de réunions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Mise en place d’expé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Elaboration d’enquêtes (traque)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Faire émerger les attentes sociales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Identifier des personnes référentes qd on est en limite de compétences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Organiser une réunion bout de champ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Entretenir la relation sur le temps long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Mise en réseau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lastRenderedPageBreak/>
              <w:t>Mise en dynamique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Identifier les usages détournés d’outils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 xml:space="preserve">Faire émerger les valeurs, attendus (les non négociables, les oui, les </w:t>
            </w:r>
            <w:proofErr w:type="spellStart"/>
            <w:r>
              <w:t>peut être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Inscription dans les politiques publiques ex plans d’action, transitions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Connaître son public</w:t>
            </w:r>
          </w:p>
        </w:tc>
        <w:tc>
          <w:tcPr>
            <w:tcW w:w="2977" w:type="dxa"/>
          </w:tcPr>
          <w:p w:rsidR="00A836CA" w:rsidRDefault="006E0892">
            <w:r>
              <w:t>Typologie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Faire émerger les mandats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Recenser les acteurs partenaires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Argumenter et mettre en perspective par rapport à l’agroécologie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 xml:space="preserve">Travailler la grille et les exigences pour l’atteinte des critères </w:t>
            </w:r>
          </w:p>
          <w:p w:rsidR="00A836CA" w:rsidRDefault="006E0892">
            <w:r>
              <w:t>(Harmonisation des niveaux exigences pour les critères chez les jurys)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 xml:space="preserve">Identifier des invariants des situations et des variants 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Elaborer un questionnaire d’enquête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 xml:space="preserve">Valoriser des connaissances pour qu’elles fassent ressource pour </w:t>
            </w:r>
            <w:proofErr w:type="gramStart"/>
            <w:r>
              <w:t>l’accompagné</w:t>
            </w:r>
            <w:proofErr w:type="gramEnd"/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Identifier toutes les facettes du métier de conseiller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Analyser un contexte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6E0892">
            <w:r>
              <w:t>Récolter, organiser de l’information en vue d’une valorisation en terme</w:t>
            </w:r>
            <w:r w:rsidR="005B2D74">
              <w:t>s</w:t>
            </w:r>
            <w:r>
              <w:t xml:space="preserve"> d’accompagnement</w:t>
            </w: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  <w:tr w:rsidR="00A836CA">
        <w:tc>
          <w:tcPr>
            <w:tcW w:w="4531" w:type="dxa"/>
          </w:tcPr>
          <w:p w:rsidR="00A836CA" w:rsidRDefault="00A836CA">
            <w:pPr>
              <w:rPr>
                <w:color w:val="A64D79"/>
              </w:rPr>
            </w:pPr>
          </w:p>
        </w:tc>
        <w:tc>
          <w:tcPr>
            <w:tcW w:w="2977" w:type="dxa"/>
          </w:tcPr>
          <w:p w:rsidR="00A836CA" w:rsidRDefault="00A836CA"/>
        </w:tc>
        <w:tc>
          <w:tcPr>
            <w:tcW w:w="2977" w:type="dxa"/>
          </w:tcPr>
          <w:p w:rsidR="00A836CA" w:rsidRDefault="00A836CA"/>
        </w:tc>
        <w:tc>
          <w:tcPr>
            <w:tcW w:w="3402" w:type="dxa"/>
          </w:tcPr>
          <w:p w:rsidR="00A836CA" w:rsidRDefault="00A836CA"/>
        </w:tc>
      </w:tr>
    </w:tbl>
    <w:p w:rsidR="00A836CA" w:rsidRDefault="00A836CA"/>
    <w:p w:rsidR="00A836CA" w:rsidRDefault="00A836CA"/>
    <w:sectPr w:rsidR="00A836CA" w:rsidSect="00660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44" w:rsidRDefault="000D4C44" w:rsidP="00660E04">
      <w:pPr>
        <w:spacing w:after="0" w:line="240" w:lineRule="auto"/>
      </w:pPr>
      <w:r>
        <w:separator/>
      </w:r>
    </w:p>
  </w:endnote>
  <w:endnote w:type="continuationSeparator" w:id="0">
    <w:p w:rsidR="000D4C44" w:rsidRDefault="000D4C44" w:rsidP="0066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00" w:rsidRDefault="000515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00" w:rsidRDefault="000515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00" w:rsidRDefault="000515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44" w:rsidRDefault="000D4C44" w:rsidP="00660E04">
      <w:pPr>
        <w:spacing w:after="0" w:line="240" w:lineRule="auto"/>
      </w:pPr>
      <w:r>
        <w:separator/>
      </w:r>
    </w:p>
  </w:footnote>
  <w:footnote w:type="continuationSeparator" w:id="0">
    <w:p w:rsidR="000D4C44" w:rsidRDefault="000D4C44" w:rsidP="0066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00" w:rsidRDefault="000515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04" w:rsidRDefault="00660E04" w:rsidP="00660E04">
    <w:bookmarkStart w:id="1" w:name="_heading=h.30j0zll" w:colFirst="0" w:colLast="0"/>
    <w:bookmarkEnd w:id="1"/>
    <w:r>
      <w:t xml:space="preserve">Pack ressources – suite SIL du BTSA </w:t>
    </w:r>
    <w:r w:rsidR="00051500">
      <w:t xml:space="preserve">ACD </w:t>
    </w:r>
    <w:bookmarkStart w:id="2" w:name="_GoBack"/>
    <w:bookmarkEnd w:id="2"/>
    <w:r>
      <w:t>atelier mise en œuvre du Bloc 8 et du module accompagnement du changement – avril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00" w:rsidRDefault="000515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15B"/>
    <w:multiLevelType w:val="multilevel"/>
    <w:tmpl w:val="6D6E8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37879"/>
    <w:multiLevelType w:val="multilevel"/>
    <w:tmpl w:val="250EF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8D3A33"/>
    <w:multiLevelType w:val="multilevel"/>
    <w:tmpl w:val="DAEC1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161D1"/>
    <w:multiLevelType w:val="multilevel"/>
    <w:tmpl w:val="A1549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255320"/>
    <w:multiLevelType w:val="multilevel"/>
    <w:tmpl w:val="699C2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CA"/>
    <w:rsid w:val="00051500"/>
    <w:rsid w:val="000D4C44"/>
    <w:rsid w:val="005B2D74"/>
    <w:rsid w:val="00660E04"/>
    <w:rsid w:val="006E0892"/>
    <w:rsid w:val="0078326D"/>
    <w:rsid w:val="00A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8A1"/>
  <w15:docId w15:val="{2BA02AA8-415C-483E-9561-0314B8CC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9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19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FD3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E04"/>
  </w:style>
  <w:style w:type="paragraph" w:styleId="Pieddepage">
    <w:name w:val="footer"/>
    <w:basedOn w:val="Normal"/>
    <w:link w:val="PieddepageCar"/>
    <w:uiPriority w:val="99"/>
    <w:unhideWhenUsed/>
    <w:rsid w:val="0066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OZTbEM1v9a/Y4TIXOFOzch3CAQ==">AMUW2mWSpi8R8enWCK6PNbvZWvyP+vv+2nefaJiIXuhjl6Rvv90MxQwAtqP3AkDv0axpyGMVv1ecLbhq85Txz2f9JHfO+5D+CaHBNATu7rMD/Zg9jUAUwYPxnDpmRwL5r4xxL0JdowN4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BENOIT</dc:creator>
  <cp:lastModifiedBy>Nadia Cancian</cp:lastModifiedBy>
  <cp:revision>2</cp:revision>
  <dcterms:created xsi:type="dcterms:W3CDTF">2023-04-12T14:06:00Z</dcterms:created>
  <dcterms:modified xsi:type="dcterms:W3CDTF">2023-04-12T14:06:00Z</dcterms:modified>
</cp:coreProperties>
</file>