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F467E" w14:textId="77777777" w:rsidR="00760367" w:rsidRDefault="00760367"/>
    <w:p w14:paraId="3D003381" w14:textId="77777777" w:rsidR="00760367" w:rsidRDefault="00760367"/>
    <w:p w14:paraId="4BC4ACA3" w14:textId="620D23BD" w:rsidR="00760367" w:rsidRPr="008958DD" w:rsidRDefault="00313B65" w:rsidP="00727509">
      <w:pPr>
        <w:jc w:val="center"/>
        <w:rPr>
          <w:b/>
          <w:bCs/>
        </w:rPr>
      </w:pPr>
      <w:r w:rsidRPr="008958DD">
        <w:rPr>
          <w:b/>
          <w:bCs/>
        </w:rPr>
        <w:t>Deux exemples de scénario sont analysés ci-dessous.</w:t>
      </w:r>
    </w:p>
    <w:p w14:paraId="30DD11BA" w14:textId="77777777" w:rsidR="00D15EF9" w:rsidRDefault="00D15EF9">
      <w:pPr>
        <w:rPr>
          <w:i/>
          <w:iCs/>
        </w:rPr>
      </w:pPr>
    </w:p>
    <w:p w14:paraId="27B2AC7B" w14:textId="58A8D478" w:rsidR="00D15EF9" w:rsidRPr="00727509" w:rsidRDefault="00D15EF9" w:rsidP="00727509">
      <w:pPr>
        <w:spacing w:after="120"/>
        <w:rPr>
          <w:i/>
          <w:iCs/>
          <w:sz w:val="20"/>
          <w:szCs w:val="20"/>
        </w:rPr>
      </w:pPr>
      <w:r w:rsidRPr="00727509">
        <w:rPr>
          <w:i/>
          <w:iCs/>
          <w:sz w:val="20"/>
          <w:szCs w:val="20"/>
        </w:rPr>
        <w:t xml:space="preserve">Ces scénarios ont été produits par des enseignants / formateurs, dans le cadre de l’atelier 3, lors des SIL (Session Institutionnelle de Lancement) organisées en octobre 2024. L’exercice a été effectué dans un temps contraint. Donc, les observations, commentaires ne constituent pas des critiques de leur travail, mais permettent de prolonger la réflexion sur leurs propositions. </w:t>
      </w:r>
    </w:p>
    <w:p w14:paraId="531FBBB6" w14:textId="4BA3C8DB" w:rsidR="00760367" w:rsidRPr="00727509" w:rsidRDefault="00313B65">
      <w:pPr>
        <w:rPr>
          <w:sz w:val="20"/>
          <w:szCs w:val="20"/>
        </w:rPr>
      </w:pPr>
      <w:r w:rsidRPr="00727509">
        <w:rPr>
          <w:sz w:val="20"/>
          <w:szCs w:val="20"/>
        </w:rPr>
        <w:t xml:space="preserve">Nous attirons votre attention sur le fait que le scénario portant sur la mise en place de pâturage tournant permet d’envisager plusieurs focales à travailler avec les apprenants dès le départ. Il s’appuie sur une mise en </w:t>
      </w:r>
      <w:r w:rsidR="00501837" w:rsidRPr="00727509">
        <w:rPr>
          <w:sz w:val="20"/>
          <w:szCs w:val="20"/>
        </w:rPr>
        <w:t xml:space="preserve">place </w:t>
      </w:r>
      <w:r w:rsidRPr="00727509">
        <w:rPr>
          <w:sz w:val="20"/>
          <w:szCs w:val="20"/>
        </w:rPr>
        <w:t xml:space="preserve">concrète sur l’exploitation agricole de l’établissement, avec une implication des apprenants. </w:t>
      </w:r>
    </w:p>
    <w:p w14:paraId="03710E70" w14:textId="655D5F9C" w:rsidR="00760367" w:rsidRPr="00727509" w:rsidRDefault="00313B65">
      <w:pPr>
        <w:rPr>
          <w:sz w:val="20"/>
          <w:szCs w:val="20"/>
        </w:rPr>
      </w:pPr>
      <w:r w:rsidRPr="00727509">
        <w:rPr>
          <w:sz w:val="20"/>
          <w:szCs w:val="20"/>
        </w:rPr>
        <w:t xml:space="preserve">Le scénario portant sur la mise en place d’un abattage à la ferme, ne repose pas sur une mise en œuvre </w:t>
      </w:r>
      <w:r w:rsidR="00501837" w:rsidRPr="00727509">
        <w:rPr>
          <w:sz w:val="20"/>
          <w:szCs w:val="20"/>
        </w:rPr>
        <w:t>réalisée</w:t>
      </w:r>
      <w:r w:rsidRPr="00727509">
        <w:rPr>
          <w:sz w:val="20"/>
          <w:szCs w:val="20"/>
        </w:rPr>
        <w:t xml:space="preserve">, il permet de travailler les apprentissages sur la base d’une étude de faisabilité, </w:t>
      </w:r>
      <w:r w:rsidR="00A429A3" w:rsidRPr="00727509">
        <w:rPr>
          <w:sz w:val="20"/>
          <w:szCs w:val="20"/>
        </w:rPr>
        <w:t>et d’établir</w:t>
      </w:r>
      <w:r w:rsidRPr="00727509">
        <w:rPr>
          <w:sz w:val="20"/>
          <w:szCs w:val="20"/>
        </w:rPr>
        <w:t xml:space="preserve"> un lien avec une question à enjeux de sociétés. </w:t>
      </w:r>
    </w:p>
    <w:p w14:paraId="6F824700" w14:textId="77777777" w:rsidR="00760367" w:rsidRDefault="00760367"/>
    <w:p w14:paraId="73EABCF7" w14:textId="77777777" w:rsidR="00760367" w:rsidRDefault="00313B65">
      <w:pPr>
        <w:rPr>
          <w:b/>
        </w:rPr>
      </w:pPr>
      <w:r>
        <w:rPr>
          <w:b/>
        </w:rPr>
        <w:t xml:space="preserve">La situation professionnelle est-elle apprenante ? </w:t>
      </w:r>
    </w:p>
    <w:p w14:paraId="4013E7DA" w14:textId="77777777" w:rsidR="00760367" w:rsidRDefault="00760367"/>
    <w:tbl>
      <w:tblPr>
        <w:tblStyle w:val="a"/>
        <w:tblW w:w="1544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3012"/>
        <w:gridCol w:w="3544"/>
        <w:gridCol w:w="2693"/>
        <w:gridCol w:w="3402"/>
      </w:tblGrid>
      <w:tr w:rsidR="00760367" w14:paraId="0C6E09C0" w14:textId="77777777" w:rsidTr="00D15EF9">
        <w:tc>
          <w:tcPr>
            <w:tcW w:w="2790" w:type="dxa"/>
            <w:tcBorders>
              <w:top w:val="single" w:sz="12" w:space="0" w:color="000000"/>
              <w:left w:val="single" w:sz="12" w:space="0" w:color="000000"/>
              <w:right w:val="single" w:sz="12" w:space="0" w:color="000000"/>
            </w:tcBorders>
            <w:shd w:val="clear" w:color="auto" w:fill="F2F2F2" w:themeFill="background1" w:themeFillShade="F2"/>
            <w:tcMar>
              <w:top w:w="100" w:type="dxa"/>
              <w:left w:w="100" w:type="dxa"/>
              <w:bottom w:w="100" w:type="dxa"/>
              <w:right w:w="100" w:type="dxa"/>
            </w:tcMar>
          </w:tcPr>
          <w:p w14:paraId="56B2647F" w14:textId="64826790" w:rsidR="00760367" w:rsidRPr="004E2F63" w:rsidRDefault="00313B65">
            <w:pPr>
              <w:widowControl w:val="0"/>
              <w:pBdr>
                <w:top w:val="nil"/>
                <w:left w:val="nil"/>
                <w:bottom w:val="nil"/>
                <w:right w:val="nil"/>
                <w:between w:val="nil"/>
              </w:pBdr>
              <w:spacing w:line="240" w:lineRule="auto"/>
              <w:rPr>
                <w:b/>
                <w:bCs/>
                <w:highlight w:val="white"/>
              </w:rPr>
            </w:pPr>
            <w:r w:rsidRPr="004E2F63">
              <w:rPr>
                <w:b/>
                <w:bCs/>
              </w:rPr>
              <w:t xml:space="preserve"> Paramètres à interroger</w:t>
            </w:r>
          </w:p>
        </w:tc>
        <w:tc>
          <w:tcPr>
            <w:tcW w:w="3012" w:type="dxa"/>
            <w:tcBorders>
              <w:top w:val="single" w:sz="12" w:space="0" w:color="000000"/>
              <w:left w:val="single" w:sz="12" w:space="0" w:color="000000"/>
            </w:tcBorders>
            <w:shd w:val="clear" w:color="auto" w:fill="EAF1DD" w:themeFill="accent3" w:themeFillTint="33"/>
            <w:tcMar>
              <w:top w:w="100" w:type="dxa"/>
              <w:left w:w="100" w:type="dxa"/>
              <w:bottom w:w="100" w:type="dxa"/>
              <w:right w:w="100" w:type="dxa"/>
            </w:tcMar>
          </w:tcPr>
          <w:p w14:paraId="21B30706" w14:textId="77777777" w:rsidR="00760367" w:rsidRDefault="00313B65">
            <w:pPr>
              <w:widowControl w:val="0"/>
              <w:pBdr>
                <w:top w:val="nil"/>
                <w:left w:val="nil"/>
                <w:bottom w:val="nil"/>
                <w:right w:val="nil"/>
                <w:between w:val="nil"/>
              </w:pBdr>
              <w:spacing w:line="240" w:lineRule="auto"/>
              <w:rPr>
                <w:b/>
                <w:bCs/>
              </w:rPr>
            </w:pPr>
            <w:r w:rsidRPr="00313B65">
              <w:rPr>
                <w:b/>
                <w:bCs/>
              </w:rPr>
              <w:t>Scénario mise en place pâturage tournant</w:t>
            </w:r>
          </w:p>
          <w:p w14:paraId="14C62EDC" w14:textId="6C212660" w:rsidR="00A429A3" w:rsidRPr="00313B65" w:rsidRDefault="00A429A3">
            <w:pPr>
              <w:widowControl w:val="0"/>
              <w:pBdr>
                <w:top w:val="nil"/>
                <w:left w:val="nil"/>
                <w:bottom w:val="nil"/>
                <w:right w:val="nil"/>
                <w:between w:val="nil"/>
              </w:pBdr>
              <w:spacing w:line="240" w:lineRule="auto"/>
              <w:rPr>
                <w:b/>
                <w:bCs/>
              </w:rPr>
            </w:pPr>
          </w:p>
        </w:tc>
        <w:tc>
          <w:tcPr>
            <w:tcW w:w="3544" w:type="dxa"/>
            <w:tcBorders>
              <w:top w:val="single" w:sz="12" w:space="0" w:color="000000"/>
              <w:right w:val="single" w:sz="12" w:space="0" w:color="000000"/>
            </w:tcBorders>
            <w:shd w:val="clear" w:color="auto" w:fill="EAF1DD" w:themeFill="accent3" w:themeFillTint="33"/>
            <w:tcMar>
              <w:top w:w="100" w:type="dxa"/>
              <w:left w:w="100" w:type="dxa"/>
              <w:bottom w:w="100" w:type="dxa"/>
              <w:right w:w="100" w:type="dxa"/>
            </w:tcMar>
          </w:tcPr>
          <w:p w14:paraId="120075C8" w14:textId="77777777" w:rsidR="00760367" w:rsidRPr="00313B65" w:rsidRDefault="00313B65">
            <w:pPr>
              <w:widowControl w:val="0"/>
              <w:pBdr>
                <w:top w:val="nil"/>
                <w:left w:val="nil"/>
                <w:bottom w:val="nil"/>
                <w:right w:val="nil"/>
                <w:between w:val="nil"/>
              </w:pBdr>
              <w:spacing w:line="240" w:lineRule="auto"/>
              <w:rPr>
                <w:b/>
                <w:bCs/>
              </w:rPr>
            </w:pPr>
            <w:r w:rsidRPr="00313B65">
              <w:rPr>
                <w:b/>
                <w:bCs/>
              </w:rPr>
              <w:t>Observations / points de vigilance / prolongements</w:t>
            </w:r>
          </w:p>
        </w:tc>
        <w:tc>
          <w:tcPr>
            <w:tcW w:w="2693" w:type="dxa"/>
            <w:tcBorders>
              <w:top w:val="single" w:sz="12" w:space="0" w:color="000000"/>
              <w:left w:val="single" w:sz="12" w:space="0" w:color="000000"/>
            </w:tcBorders>
            <w:shd w:val="clear" w:color="auto" w:fill="F2DBDB" w:themeFill="accent2" w:themeFillTint="33"/>
            <w:tcMar>
              <w:top w:w="100" w:type="dxa"/>
              <w:left w:w="100" w:type="dxa"/>
              <w:bottom w:w="100" w:type="dxa"/>
              <w:right w:w="100" w:type="dxa"/>
            </w:tcMar>
          </w:tcPr>
          <w:p w14:paraId="36B3348D" w14:textId="3F19E568" w:rsidR="00760367" w:rsidRPr="00313B65" w:rsidRDefault="00313B65">
            <w:pPr>
              <w:widowControl w:val="0"/>
              <w:pBdr>
                <w:top w:val="nil"/>
                <w:left w:val="nil"/>
                <w:bottom w:val="nil"/>
                <w:right w:val="nil"/>
                <w:between w:val="nil"/>
              </w:pBdr>
              <w:spacing w:line="240" w:lineRule="auto"/>
              <w:rPr>
                <w:b/>
                <w:bCs/>
              </w:rPr>
            </w:pPr>
            <w:r w:rsidRPr="00313B65">
              <w:rPr>
                <w:b/>
                <w:bCs/>
              </w:rPr>
              <w:t xml:space="preserve">Scénario abattage à la ferme </w:t>
            </w:r>
          </w:p>
        </w:tc>
        <w:tc>
          <w:tcPr>
            <w:tcW w:w="3402" w:type="dxa"/>
            <w:tcBorders>
              <w:top w:val="single" w:sz="12" w:space="0" w:color="000000"/>
              <w:right w:val="single" w:sz="12" w:space="0" w:color="000000"/>
            </w:tcBorders>
            <w:shd w:val="clear" w:color="auto" w:fill="F2DBDB" w:themeFill="accent2" w:themeFillTint="33"/>
            <w:tcMar>
              <w:top w:w="100" w:type="dxa"/>
              <w:left w:w="100" w:type="dxa"/>
              <w:bottom w:w="100" w:type="dxa"/>
              <w:right w:w="100" w:type="dxa"/>
            </w:tcMar>
          </w:tcPr>
          <w:p w14:paraId="13F3D639" w14:textId="77777777" w:rsidR="00760367" w:rsidRPr="00313B65" w:rsidRDefault="00313B65">
            <w:pPr>
              <w:widowControl w:val="0"/>
              <w:spacing w:line="240" w:lineRule="auto"/>
              <w:rPr>
                <w:b/>
                <w:bCs/>
              </w:rPr>
            </w:pPr>
            <w:r w:rsidRPr="00313B65">
              <w:rPr>
                <w:b/>
                <w:bCs/>
              </w:rPr>
              <w:t>Observations / points de vigilance / prolongements</w:t>
            </w:r>
          </w:p>
        </w:tc>
      </w:tr>
      <w:tr w:rsidR="00760367" w14:paraId="0D9F5016" w14:textId="77777777" w:rsidTr="00D15EF9">
        <w:tc>
          <w:tcPr>
            <w:tcW w:w="2790" w:type="dxa"/>
            <w:tcBorders>
              <w:left w:val="single" w:sz="12" w:space="0" w:color="000000"/>
              <w:right w:val="single" w:sz="12" w:space="0" w:color="000000"/>
            </w:tcBorders>
            <w:shd w:val="clear" w:color="auto" w:fill="F2F2F2" w:themeFill="background1" w:themeFillShade="F2"/>
            <w:tcMar>
              <w:top w:w="100" w:type="dxa"/>
              <w:left w:w="100" w:type="dxa"/>
              <w:bottom w:w="100" w:type="dxa"/>
              <w:right w:w="100" w:type="dxa"/>
            </w:tcMar>
          </w:tcPr>
          <w:p w14:paraId="49966F44" w14:textId="105C16A6" w:rsidR="00501837" w:rsidRPr="004E2F63" w:rsidRDefault="00501837">
            <w:pPr>
              <w:widowControl w:val="0"/>
              <w:spacing w:line="240" w:lineRule="auto"/>
              <w:rPr>
                <w:rFonts w:eastAsia="Calibri"/>
                <w:b/>
                <w:bCs/>
              </w:rPr>
            </w:pPr>
            <w:r w:rsidRPr="004E2F63">
              <w:rPr>
                <w:rFonts w:eastAsia="Calibri"/>
                <w:b/>
                <w:bCs/>
              </w:rPr>
              <w:t>Explorer plusieurs échelles</w:t>
            </w:r>
          </w:p>
          <w:p w14:paraId="7478B156" w14:textId="43A0B1F3" w:rsidR="00A429A3" w:rsidRPr="004E2F63" w:rsidRDefault="00313B65">
            <w:pPr>
              <w:widowControl w:val="0"/>
              <w:spacing w:line="240" w:lineRule="auto"/>
              <w:rPr>
                <w:rFonts w:eastAsia="Calibri"/>
              </w:rPr>
            </w:pPr>
            <w:r w:rsidRPr="004E2F63">
              <w:rPr>
                <w:rFonts w:eastAsia="Calibri"/>
              </w:rPr>
              <w:t xml:space="preserve">La situation professionnelle permet-elle de questionner plusieurs échelles/focales (problématiser) </w:t>
            </w:r>
            <w:r w:rsidR="00E20502">
              <w:rPr>
                <w:rFonts w:eastAsia="Calibri"/>
              </w:rPr>
              <w:t xml:space="preserve">en contexte,  </w:t>
            </w:r>
            <w:r w:rsidRPr="004E2F63">
              <w:rPr>
                <w:rFonts w:eastAsia="Calibri"/>
              </w:rPr>
              <w:t xml:space="preserve">suivant une vision systémique ? </w:t>
            </w:r>
          </w:p>
        </w:tc>
        <w:tc>
          <w:tcPr>
            <w:tcW w:w="3012" w:type="dxa"/>
            <w:tcBorders>
              <w:left w:val="single" w:sz="12" w:space="0" w:color="000000"/>
            </w:tcBorders>
            <w:shd w:val="clear" w:color="auto" w:fill="EAF1DD" w:themeFill="accent3" w:themeFillTint="33"/>
            <w:tcMar>
              <w:top w:w="100" w:type="dxa"/>
              <w:left w:w="100" w:type="dxa"/>
              <w:bottom w:w="100" w:type="dxa"/>
              <w:right w:w="100" w:type="dxa"/>
            </w:tcMar>
          </w:tcPr>
          <w:p w14:paraId="55381EFC" w14:textId="4A29CCA5" w:rsidR="00760367" w:rsidRDefault="00501837">
            <w:pPr>
              <w:widowControl w:val="0"/>
              <w:pBdr>
                <w:top w:val="nil"/>
                <w:left w:val="nil"/>
                <w:bottom w:val="nil"/>
                <w:right w:val="nil"/>
                <w:between w:val="nil"/>
              </w:pBdr>
              <w:spacing w:line="240" w:lineRule="auto"/>
            </w:pPr>
            <w:r>
              <w:t xml:space="preserve">Différentes échelles sont explorées </w:t>
            </w:r>
            <w:r w:rsidR="00313B65">
              <w:t xml:space="preserve">au travers </w:t>
            </w:r>
            <w:r>
              <w:t xml:space="preserve">de </w:t>
            </w:r>
            <w:r w:rsidR="00313B65">
              <w:t>plusieurs visites, de</w:t>
            </w:r>
            <w:r w:rsidR="00A429A3">
              <w:t>s</w:t>
            </w:r>
            <w:r w:rsidR="00313B65">
              <w:t xml:space="preserve"> TD sur </w:t>
            </w:r>
            <w:r w:rsidR="00A429A3">
              <w:t xml:space="preserve">des </w:t>
            </w:r>
            <w:r w:rsidR="00313B65">
              <w:t>thématique</w:t>
            </w:r>
            <w:r w:rsidR="00A429A3">
              <w:t>s</w:t>
            </w:r>
            <w:r w:rsidR="00313B65">
              <w:t xml:space="preserve"> précise</w:t>
            </w:r>
            <w:r w:rsidR="00A429A3">
              <w:t>s</w:t>
            </w:r>
            <w:r w:rsidR="00313B65">
              <w:t>, des interventions de techniciens qui apportent une vision de collectifs, d’un territoire, des PFMP et mini-stage avec la vision systémique d’une exploitation</w:t>
            </w:r>
          </w:p>
        </w:tc>
        <w:tc>
          <w:tcPr>
            <w:tcW w:w="3544" w:type="dxa"/>
            <w:tcBorders>
              <w:right w:val="single" w:sz="12" w:space="0" w:color="000000"/>
            </w:tcBorders>
            <w:shd w:val="clear" w:color="auto" w:fill="EAF1DD" w:themeFill="accent3" w:themeFillTint="33"/>
            <w:tcMar>
              <w:top w:w="100" w:type="dxa"/>
              <w:left w:w="100" w:type="dxa"/>
              <w:bottom w:w="100" w:type="dxa"/>
              <w:right w:w="100" w:type="dxa"/>
            </w:tcMar>
          </w:tcPr>
          <w:p w14:paraId="6509955E" w14:textId="6C2ECBED" w:rsidR="00760367" w:rsidRDefault="00313B65">
            <w:pPr>
              <w:widowControl w:val="0"/>
              <w:pBdr>
                <w:top w:val="nil"/>
                <w:left w:val="nil"/>
                <w:bottom w:val="nil"/>
                <w:right w:val="nil"/>
                <w:between w:val="nil"/>
              </w:pBdr>
              <w:spacing w:line="240" w:lineRule="auto"/>
            </w:pPr>
            <w:r>
              <w:t xml:space="preserve">Différentes focales peuvent être questionnées au cours du temps, sous réserve que cela soit bien prévu et étudié de façon explicite. </w:t>
            </w:r>
          </w:p>
        </w:tc>
        <w:tc>
          <w:tcPr>
            <w:tcW w:w="2693" w:type="dxa"/>
            <w:tcBorders>
              <w:left w:val="single" w:sz="12" w:space="0" w:color="000000"/>
            </w:tcBorders>
            <w:shd w:val="clear" w:color="auto" w:fill="F2DBDB" w:themeFill="accent2" w:themeFillTint="33"/>
            <w:tcMar>
              <w:top w:w="100" w:type="dxa"/>
              <w:left w:w="100" w:type="dxa"/>
              <w:bottom w:w="100" w:type="dxa"/>
              <w:right w:w="100" w:type="dxa"/>
            </w:tcMar>
          </w:tcPr>
          <w:p w14:paraId="3BB41F99" w14:textId="77777777" w:rsidR="00760367" w:rsidRDefault="00313B65">
            <w:pPr>
              <w:widowControl w:val="0"/>
              <w:pBdr>
                <w:top w:val="nil"/>
                <w:left w:val="nil"/>
                <w:bottom w:val="nil"/>
                <w:right w:val="nil"/>
                <w:between w:val="nil"/>
              </w:pBdr>
              <w:spacing w:line="240" w:lineRule="auto"/>
            </w:pPr>
            <w:r>
              <w:t xml:space="preserve">L’échelle de l’exploitation et la question du bien-être animal, des attentes sociétales sont travaillées. </w:t>
            </w:r>
          </w:p>
        </w:tc>
        <w:tc>
          <w:tcPr>
            <w:tcW w:w="3402" w:type="dxa"/>
            <w:tcBorders>
              <w:right w:val="single" w:sz="12" w:space="0" w:color="000000"/>
            </w:tcBorders>
            <w:shd w:val="clear" w:color="auto" w:fill="F2DBDB" w:themeFill="accent2" w:themeFillTint="33"/>
            <w:tcMar>
              <w:top w:w="100" w:type="dxa"/>
              <w:left w:w="100" w:type="dxa"/>
              <w:bottom w:w="100" w:type="dxa"/>
              <w:right w:w="100" w:type="dxa"/>
            </w:tcMar>
          </w:tcPr>
          <w:p w14:paraId="082D125E" w14:textId="77777777" w:rsidR="00760367" w:rsidRDefault="00313B65">
            <w:pPr>
              <w:widowControl w:val="0"/>
              <w:spacing w:line="240" w:lineRule="auto"/>
            </w:pPr>
            <w:r>
              <w:t xml:space="preserve"> L’échelle intermédiaire : organisation en collectifs d’agriculteurs, la filière…pourraient également être travaillés</w:t>
            </w:r>
          </w:p>
          <w:p w14:paraId="44265533" w14:textId="77777777" w:rsidR="00760367" w:rsidRDefault="00760367" w:rsidP="00313B65">
            <w:pPr>
              <w:widowControl w:val="0"/>
              <w:spacing w:line="240" w:lineRule="auto"/>
            </w:pPr>
          </w:p>
        </w:tc>
      </w:tr>
      <w:tr w:rsidR="00760367" w14:paraId="5BCF0282" w14:textId="77777777" w:rsidTr="00D15EF9">
        <w:tc>
          <w:tcPr>
            <w:tcW w:w="2790" w:type="dxa"/>
            <w:tcBorders>
              <w:left w:val="single" w:sz="12" w:space="0" w:color="000000"/>
              <w:right w:val="single" w:sz="12" w:space="0" w:color="000000"/>
            </w:tcBorders>
            <w:shd w:val="clear" w:color="auto" w:fill="F2F2F2" w:themeFill="background1" w:themeFillShade="F2"/>
            <w:tcMar>
              <w:top w:w="100" w:type="dxa"/>
              <w:left w:w="100" w:type="dxa"/>
              <w:bottom w:w="100" w:type="dxa"/>
              <w:right w:w="100" w:type="dxa"/>
            </w:tcMar>
          </w:tcPr>
          <w:p w14:paraId="33D00534" w14:textId="77777777" w:rsidR="00760367" w:rsidRPr="004E2F63" w:rsidRDefault="00313B65">
            <w:pPr>
              <w:widowControl w:val="0"/>
              <w:spacing w:line="240" w:lineRule="auto"/>
              <w:rPr>
                <w:rFonts w:eastAsia="Calibri"/>
                <w:b/>
                <w:bCs/>
              </w:rPr>
            </w:pPr>
            <w:r w:rsidRPr="004E2F63">
              <w:rPr>
                <w:rFonts w:eastAsia="Calibri"/>
                <w:b/>
                <w:bCs/>
              </w:rPr>
              <w:t>Valoriser le potentiel de la situation en équipe</w:t>
            </w:r>
          </w:p>
          <w:p w14:paraId="4E6471FC" w14:textId="4C2BA4AD" w:rsidR="00760367" w:rsidRPr="004E2F63" w:rsidRDefault="00313B65">
            <w:pPr>
              <w:widowControl w:val="0"/>
              <w:spacing w:line="240" w:lineRule="auto"/>
            </w:pPr>
            <w:r w:rsidRPr="004E2F63">
              <w:rPr>
                <w:rFonts w:eastAsia="Calibri"/>
              </w:rPr>
              <w:t xml:space="preserve">Le potentiel de la situation (certification, apprentissage, remobilisation, sensibilisation) est-il </w:t>
            </w:r>
            <w:r w:rsidRPr="004E2F63">
              <w:rPr>
                <w:rFonts w:eastAsia="Calibri"/>
              </w:rPr>
              <w:lastRenderedPageBreak/>
              <w:t>pleinement valorisé en équipe ? (</w:t>
            </w:r>
            <w:r w:rsidR="009E6214" w:rsidRPr="004E2F63">
              <w:rPr>
                <w:rFonts w:eastAsia="Calibri"/>
              </w:rPr>
              <w:t>Sans</w:t>
            </w:r>
            <w:r w:rsidRPr="004E2F63">
              <w:rPr>
                <w:rFonts w:eastAsia="Calibri"/>
              </w:rPr>
              <w:t xml:space="preserve"> chercher à multiplier les situations)</w:t>
            </w:r>
          </w:p>
        </w:tc>
        <w:tc>
          <w:tcPr>
            <w:tcW w:w="3012" w:type="dxa"/>
            <w:tcBorders>
              <w:left w:val="single" w:sz="12" w:space="0" w:color="000000"/>
            </w:tcBorders>
            <w:shd w:val="clear" w:color="auto" w:fill="EAF1DD" w:themeFill="accent3" w:themeFillTint="33"/>
            <w:tcMar>
              <w:top w:w="100" w:type="dxa"/>
              <w:left w:w="100" w:type="dxa"/>
              <w:bottom w:w="100" w:type="dxa"/>
              <w:right w:w="100" w:type="dxa"/>
            </w:tcMar>
          </w:tcPr>
          <w:p w14:paraId="7E759F11" w14:textId="65A29796" w:rsidR="00760367" w:rsidRDefault="00A429A3">
            <w:pPr>
              <w:widowControl w:val="0"/>
              <w:pBdr>
                <w:top w:val="nil"/>
                <w:left w:val="nil"/>
                <w:bottom w:val="nil"/>
                <w:right w:val="nil"/>
                <w:between w:val="nil"/>
              </w:pBdr>
              <w:spacing w:line="240" w:lineRule="auto"/>
            </w:pPr>
            <w:r>
              <w:lastRenderedPageBreak/>
              <w:t>P</w:t>
            </w:r>
            <w:r w:rsidR="00313B65">
              <w:t>lusieurs capacités ciblées</w:t>
            </w:r>
          </w:p>
          <w:p w14:paraId="01645D2B" w14:textId="7AAAAA2E" w:rsidR="00760367" w:rsidRDefault="00A429A3">
            <w:pPr>
              <w:widowControl w:val="0"/>
              <w:pBdr>
                <w:top w:val="nil"/>
                <w:left w:val="nil"/>
                <w:bottom w:val="nil"/>
                <w:right w:val="nil"/>
                <w:between w:val="nil"/>
              </w:pBdr>
              <w:spacing w:line="240" w:lineRule="auto"/>
            </w:pPr>
            <w:r>
              <w:t>P</w:t>
            </w:r>
            <w:r w:rsidR="00313B65">
              <w:t xml:space="preserve">lusieurs opportunités proposées : travaux de groupes, mobilisation des TIM, restitution à d’autres apprenants qui ouvrent plusieurs modalités de </w:t>
            </w:r>
            <w:r w:rsidR="00313B65">
              <w:lastRenderedPageBreak/>
              <w:t xml:space="preserve">valorisation de la SP. </w:t>
            </w:r>
          </w:p>
        </w:tc>
        <w:tc>
          <w:tcPr>
            <w:tcW w:w="3544" w:type="dxa"/>
            <w:tcBorders>
              <w:right w:val="single" w:sz="12" w:space="0" w:color="000000"/>
            </w:tcBorders>
            <w:shd w:val="clear" w:color="auto" w:fill="EAF1DD" w:themeFill="accent3" w:themeFillTint="33"/>
            <w:tcMar>
              <w:top w:w="100" w:type="dxa"/>
              <w:left w:w="100" w:type="dxa"/>
              <w:bottom w:w="100" w:type="dxa"/>
              <w:right w:w="100" w:type="dxa"/>
            </w:tcMar>
          </w:tcPr>
          <w:p w14:paraId="0256F631" w14:textId="3319E1EA" w:rsidR="00760367" w:rsidRDefault="00313B65">
            <w:pPr>
              <w:widowControl w:val="0"/>
              <w:pBdr>
                <w:top w:val="nil"/>
                <w:left w:val="nil"/>
                <w:bottom w:val="nil"/>
                <w:right w:val="nil"/>
                <w:between w:val="nil"/>
              </w:pBdr>
              <w:spacing w:line="240" w:lineRule="auto"/>
            </w:pPr>
            <w:r>
              <w:lastRenderedPageBreak/>
              <w:t xml:space="preserve">D’autres capacités mobilisables (ex C4.4 pourrait être envisagée mais peut-être choix </w:t>
            </w:r>
            <w:r w:rsidR="00A429A3">
              <w:t xml:space="preserve">d’une SP </w:t>
            </w:r>
            <w:r>
              <w:t>différent</w:t>
            </w:r>
            <w:r w:rsidR="00A429A3">
              <w:t>e</w:t>
            </w:r>
            <w:r>
              <w:t xml:space="preserve"> la concernant).</w:t>
            </w:r>
          </w:p>
          <w:p w14:paraId="5D2F78C9" w14:textId="58DC040E" w:rsidR="00760367" w:rsidRDefault="00313B65">
            <w:pPr>
              <w:widowControl w:val="0"/>
              <w:pBdr>
                <w:top w:val="nil"/>
                <w:left w:val="nil"/>
                <w:bottom w:val="nil"/>
                <w:right w:val="nil"/>
                <w:between w:val="nil"/>
              </w:pBdr>
              <w:spacing w:line="240" w:lineRule="auto"/>
            </w:pPr>
            <w:r>
              <w:t xml:space="preserve">Risque que la situation professionnelle étudiée ne lasse au fil de son étude et finalement </w:t>
            </w:r>
            <w:r>
              <w:lastRenderedPageBreak/>
              <w:t>ne restreigne le périmètre de ce qui peut être étudié. Donc mise en garde possible : conduire une approche comparative approfondie avec le vécu en PFMP pour aller au-delà de la thématique</w:t>
            </w:r>
            <w:r w:rsidR="00A429A3">
              <w:t xml:space="preserve"> (pâturage tournant en AB).</w:t>
            </w:r>
          </w:p>
        </w:tc>
        <w:tc>
          <w:tcPr>
            <w:tcW w:w="2693" w:type="dxa"/>
            <w:tcBorders>
              <w:left w:val="single" w:sz="12" w:space="0" w:color="000000"/>
            </w:tcBorders>
            <w:shd w:val="clear" w:color="auto" w:fill="F2DBDB" w:themeFill="accent2" w:themeFillTint="33"/>
            <w:tcMar>
              <w:top w:w="100" w:type="dxa"/>
              <w:left w:w="100" w:type="dxa"/>
              <w:bottom w:w="100" w:type="dxa"/>
              <w:right w:w="100" w:type="dxa"/>
            </w:tcMar>
          </w:tcPr>
          <w:p w14:paraId="0139AB33" w14:textId="77777777" w:rsidR="00760367" w:rsidRDefault="00313B65">
            <w:pPr>
              <w:widowControl w:val="0"/>
              <w:pBdr>
                <w:top w:val="nil"/>
                <w:left w:val="nil"/>
                <w:bottom w:val="nil"/>
                <w:right w:val="nil"/>
                <w:between w:val="nil"/>
              </w:pBdr>
              <w:spacing w:line="240" w:lineRule="auto"/>
            </w:pPr>
            <w:r>
              <w:lastRenderedPageBreak/>
              <w:t xml:space="preserve">La production se concentre sur une capacité du bloc 5 et une capacité du bloc 1. </w:t>
            </w:r>
          </w:p>
        </w:tc>
        <w:tc>
          <w:tcPr>
            <w:tcW w:w="3402" w:type="dxa"/>
            <w:tcBorders>
              <w:right w:val="single" w:sz="12" w:space="0" w:color="000000"/>
            </w:tcBorders>
            <w:shd w:val="clear" w:color="auto" w:fill="F2DBDB" w:themeFill="accent2" w:themeFillTint="33"/>
            <w:tcMar>
              <w:top w:w="100" w:type="dxa"/>
              <w:left w:w="100" w:type="dxa"/>
              <w:bottom w:w="100" w:type="dxa"/>
              <w:right w:w="100" w:type="dxa"/>
            </w:tcMar>
          </w:tcPr>
          <w:p w14:paraId="1C69652C" w14:textId="409CC223" w:rsidR="00760367" w:rsidRDefault="00313B65">
            <w:pPr>
              <w:widowControl w:val="0"/>
              <w:spacing w:line="240" w:lineRule="auto"/>
            </w:pPr>
            <w:r>
              <w:t>D</w:t>
            </w:r>
            <w:r w:rsidR="00501837">
              <w:t>es</w:t>
            </w:r>
            <w:r>
              <w:t xml:space="preserve"> </w:t>
            </w:r>
            <w:r w:rsidR="00501837">
              <w:t xml:space="preserve">capacités d’autres </w:t>
            </w:r>
            <w:r>
              <w:t>blocs pourraient être engagé</w:t>
            </w:r>
            <w:r w:rsidR="00501837">
              <w:t>e</w:t>
            </w:r>
            <w:r>
              <w:t>s dans ce travail : blocs 6, bloc 8 …</w:t>
            </w:r>
          </w:p>
          <w:p w14:paraId="125B11D2" w14:textId="4F101B7C" w:rsidR="00760367" w:rsidRDefault="00313B65">
            <w:pPr>
              <w:widowControl w:val="0"/>
              <w:spacing w:line="240" w:lineRule="auto"/>
            </w:pPr>
            <w:r>
              <w:t xml:space="preserve">Un travail partagé en équipe permettrait sûrement de valoriser encore </w:t>
            </w:r>
            <w:r w:rsidR="00501837">
              <w:t xml:space="preserve">le potentiel de </w:t>
            </w:r>
            <w:r>
              <w:t>la situation choisie.</w:t>
            </w:r>
          </w:p>
          <w:p w14:paraId="4AC7532F" w14:textId="77777777" w:rsidR="00760367" w:rsidRDefault="00760367">
            <w:pPr>
              <w:widowControl w:val="0"/>
              <w:pBdr>
                <w:top w:val="nil"/>
                <w:left w:val="nil"/>
                <w:bottom w:val="nil"/>
                <w:right w:val="nil"/>
                <w:between w:val="nil"/>
              </w:pBdr>
              <w:spacing w:line="240" w:lineRule="auto"/>
            </w:pPr>
          </w:p>
        </w:tc>
      </w:tr>
      <w:tr w:rsidR="00760367" w14:paraId="00963481" w14:textId="77777777" w:rsidTr="00D15EF9">
        <w:tc>
          <w:tcPr>
            <w:tcW w:w="2790" w:type="dxa"/>
            <w:tcBorders>
              <w:left w:val="single" w:sz="12" w:space="0" w:color="000000"/>
              <w:right w:val="single" w:sz="12" w:space="0" w:color="000000"/>
            </w:tcBorders>
            <w:shd w:val="clear" w:color="auto" w:fill="F2F2F2" w:themeFill="background1" w:themeFillShade="F2"/>
            <w:tcMar>
              <w:top w:w="100" w:type="dxa"/>
              <w:left w:w="100" w:type="dxa"/>
              <w:bottom w:w="100" w:type="dxa"/>
              <w:right w:w="100" w:type="dxa"/>
            </w:tcMar>
          </w:tcPr>
          <w:p w14:paraId="0E86D0AF" w14:textId="1D071775" w:rsidR="004324D3" w:rsidRPr="004E2F63" w:rsidRDefault="004324D3" w:rsidP="004324D3">
            <w:pPr>
              <w:widowControl w:val="0"/>
              <w:spacing w:line="240" w:lineRule="auto"/>
              <w:rPr>
                <w:rFonts w:eastAsia="Calibri"/>
              </w:rPr>
            </w:pPr>
            <w:r w:rsidRPr="004E2F63">
              <w:rPr>
                <w:rFonts w:eastAsia="Calibri"/>
                <w:b/>
                <w:bCs/>
              </w:rPr>
              <w:lastRenderedPageBreak/>
              <w:t>La capitalisation des situations</w:t>
            </w:r>
            <w:r w:rsidRPr="004E2F63">
              <w:rPr>
                <w:rFonts w:eastAsia="Calibri"/>
              </w:rPr>
              <w:t>, c’est-à-dire, le repérage des savoirs en jeu</w:t>
            </w:r>
            <w:r w:rsidR="009E6214">
              <w:rPr>
                <w:rFonts w:eastAsia="Calibri"/>
              </w:rPr>
              <w:t>,</w:t>
            </w:r>
            <w:r w:rsidRPr="004E2F63">
              <w:rPr>
                <w:rFonts w:eastAsia="Calibri"/>
              </w:rPr>
              <w:t xml:space="preserve"> le ciblage des objectifs d’apprentissage potentiels, est-elle pensée en amont ?</w:t>
            </w:r>
            <w:r w:rsidR="009E6214">
              <w:rPr>
                <w:rFonts w:eastAsia="Calibri"/>
              </w:rPr>
              <w:t xml:space="preserve"> (Anticiper les traces écrites)</w:t>
            </w:r>
          </w:p>
          <w:p w14:paraId="2FA021E0" w14:textId="49B3BE35" w:rsidR="00760367" w:rsidRPr="004E2F63" w:rsidRDefault="00760367">
            <w:pPr>
              <w:widowControl w:val="0"/>
              <w:spacing w:line="240" w:lineRule="auto"/>
            </w:pPr>
          </w:p>
        </w:tc>
        <w:tc>
          <w:tcPr>
            <w:tcW w:w="3012" w:type="dxa"/>
            <w:tcBorders>
              <w:left w:val="single" w:sz="12" w:space="0" w:color="000000"/>
            </w:tcBorders>
            <w:shd w:val="clear" w:color="auto" w:fill="EAF1DD" w:themeFill="accent3" w:themeFillTint="33"/>
            <w:tcMar>
              <w:top w:w="100" w:type="dxa"/>
              <w:left w:w="100" w:type="dxa"/>
              <w:bottom w:w="100" w:type="dxa"/>
              <w:right w:w="100" w:type="dxa"/>
            </w:tcMar>
          </w:tcPr>
          <w:p w14:paraId="2D405063" w14:textId="129436BD" w:rsidR="00760367" w:rsidRDefault="00D15EF9">
            <w:pPr>
              <w:widowControl w:val="0"/>
              <w:pBdr>
                <w:top w:val="nil"/>
                <w:left w:val="nil"/>
                <w:bottom w:val="nil"/>
                <w:right w:val="nil"/>
                <w:between w:val="nil"/>
              </w:pBdr>
              <w:spacing w:line="240" w:lineRule="auto"/>
            </w:pPr>
            <w:r>
              <w:t>R</w:t>
            </w:r>
            <w:r w:rsidR="00313B65">
              <w:t>ien à ce sujet (mais ce niveau de détail n’était pas demandé)</w:t>
            </w:r>
          </w:p>
        </w:tc>
        <w:tc>
          <w:tcPr>
            <w:tcW w:w="3544" w:type="dxa"/>
            <w:tcBorders>
              <w:right w:val="single" w:sz="12" w:space="0" w:color="000000"/>
            </w:tcBorders>
            <w:shd w:val="clear" w:color="auto" w:fill="EAF1DD" w:themeFill="accent3" w:themeFillTint="33"/>
            <w:tcMar>
              <w:top w:w="100" w:type="dxa"/>
              <w:left w:w="100" w:type="dxa"/>
              <w:bottom w:w="100" w:type="dxa"/>
              <w:right w:w="100" w:type="dxa"/>
            </w:tcMar>
          </w:tcPr>
          <w:p w14:paraId="1758C0C8" w14:textId="77777777" w:rsidR="00760367" w:rsidRDefault="00313B65">
            <w:pPr>
              <w:widowControl w:val="0"/>
              <w:pBdr>
                <w:top w:val="nil"/>
                <w:left w:val="nil"/>
                <w:bottom w:val="nil"/>
                <w:right w:val="nil"/>
                <w:between w:val="nil"/>
              </w:pBdr>
              <w:spacing w:line="240" w:lineRule="auto"/>
            </w:pPr>
            <w:r>
              <w:t xml:space="preserve">Repérer les savoirs en jeu dans la situation et cibler les objectifs d’apprentissage </w:t>
            </w:r>
          </w:p>
          <w:p w14:paraId="42E871D4" w14:textId="630F99C1" w:rsidR="00760367" w:rsidRDefault="00313B65">
            <w:pPr>
              <w:widowControl w:val="0"/>
              <w:pBdr>
                <w:top w:val="nil"/>
                <w:left w:val="nil"/>
                <w:bottom w:val="nil"/>
                <w:right w:val="nil"/>
                <w:between w:val="nil"/>
              </w:pBdr>
              <w:spacing w:line="240" w:lineRule="auto"/>
            </w:pPr>
            <w:r>
              <w:t>Il peut y avoir une difficulté dès lors qu’il s’agit d’une sorte de recherche-action, ni les contenus, ni les méthodes ne sont pré-existants</w:t>
            </w:r>
            <w:r w:rsidR="00077B35">
              <w:t xml:space="preserve"> clé en main</w:t>
            </w:r>
            <w:r>
              <w:t xml:space="preserve"> : la place de l’EA de </w:t>
            </w:r>
            <w:r w:rsidR="00077B35">
              <w:t xml:space="preserve">l’établissement </w:t>
            </w:r>
            <w:r>
              <w:t>et d’autres partenaires dans le dispositif peut être facilitante</w:t>
            </w:r>
          </w:p>
          <w:p w14:paraId="6A639C31" w14:textId="77777777" w:rsidR="00760367" w:rsidRDefault="00760367">
            <w:pPr>
              <w:widowControl w:val="0"/>
              <w:pBdr>
                <w:top w:val="nil"/>
                <w:left w:val="nil"/>
                <w:bottom w:val="nil"/>
                <w:right w:val="nil"/>
                <w:between w:val="nil"/>
              </w:pBdr>
              <w:spacing w:line="240" w:lineRule="auto"/>
            </w:pPr>
          </w:p>
        </w:tc>
        <w:tc>
          <w:tcPr>
            <w:tcW w:w="2693" w:type="dxa"/>
            <w:tcBorders>
              <w:left w:val="single" w:sz="12" w:space="0" w:color="000000"/>
            </w:tcBorders>
            <w:shd w:val="clear" w:color="auto" w:fill="F2DBDB" w:themeFill="accent2" w:themeFillTint="33"/>
            <w:tcMar>
              <w:top w:w="100" w:type="dxa"/>
              <w:left w:w="100" w:type="dxa"/>
              <w:bottom w:w="100" w:type="dxa"/>
              <w:right w:w="100" w:type="dxa"/>
            </w:tcMar>
          </w:tcPr>
          <w:p w14:paraId="0A6BFD43" w14:textId="77777777" w:rsidR="00760367" w:rsidRDefault="00313B65">
            <w:pPr>
              <w:widowControl w:val="0"/>
              <w:pBdr>
                <w:top w:val="nil"/>
                <w:left w:val="nil"/>
                <w:bottom w:val="nil"/>
                <w:right w:val="nil"/>
                <w:between w:val="nil"/>
              </w:pBdr>
              <w:spacing w:line="240" w:lineRule="auto"/>
            </w:pPr>
            <w:r>
              <w:t>Les notions travaillées sont citées : EBE, qualité du produit, demande sociétale, organisation du travail, communication clientèle…</w:t>
            </w:r>
          </w:p>
        </w:tc>
        <w:tc>
          <w:tcPr>
            <w:tcW w:w="3402" w:type="dxa"/>
            <w:tcBorders>
              <w:right w:val="single" w:sz="12" w:space="0" w:color="000000"/>
            </w:tcBorders>
            <w:shd w:val="clear" w:color="auto" w:fill="F2DBDB" w:themeFill="accent2" w:themeFillTint="33"/>
            <w:tcMar>
              <w:top w:w="100" w:type="dxa"/>
              <w:left w:w="100" w:type="dxa"/>
              <w:bottom w:w="100" w:type="dxa"/>
              <w:right w:w="100" w:type="dxa"/>
            </w:tcMar>
          </w:tcPr>
          <w:p w14:paraId="6BDFB7AC" w14:textId="77777777" w:rsidR="00760367" w:rsidRDefault="00313B65">
            <w:pPr>
              <w:widowControl w:val="0"/>
              <w:pBdr>
                <w:top w:val="nil"/>
                <w:left w:val="nil"/>
                <w:bottom w:val="nil"/>
                <w:right w:val="nil"/>
                <w:between w:val="nil"/>
              </w:pBdr>
              <w:spacing w:line="240" w:lineRule="auto"/>
            </w:pPr>
            <w:r>
              <w:t xml:space="preserve">D’autres aspects en lien avec d’autres capacités pourraient être également travaillés. </w:t>
            </w:r>
          </w:p>
        </w:tc>
      </w:tr>
      <w:tr w:rsidR="00760367" w14:paraId="33FE66AF" w14:textId="77777777" w:rsidTr="00D15EF9">
        <w:tc>
          <w:tcPr>
            <w:tcW w:w="2790" w:type="dxa"/>
            <w:tcBorders>
              <w:left w:val="single" w:sz="12" w:space="0" w:color="000000"/>
              <w:right w:val="single" w:sz="12" w:space="0" w:color="000000"/>
            </w:tcBorders>
            <w:shd w:val="clear" w:color="auto" w:fill="F2F2F2" w:themeFill="background1" w:themeFillShade="F2"/>
            <w:tcMar>
              <w:top w:w="100" w:type="dxa"/>
              <w:left w:w="100" w:type="dxa"/>
              <w:bottom w:w="100" w:type="dxa"/>
              <w:right w:w="100" w:type="dxa"/>
            </w:tcMar>
          </w:tcPr>
          <w:p w14:paraId="22317DA2" w14:textId="56A17B56" w:rsidR="00501837" w:rsidRPr="004E2F63" w:rsidRDefault="00501837">
            <w:pPr>
              <w:widowControl w:val="0"/>
              <w:spacing w:line="240" w:lineRule="auto"/>
              <w:rPr>
                <w:rFonts w:eastAsia="Calibri"/>
                <w:b/>
                <w:bCs/>
              </w:rPr>
            </w:pPr>
            <w:r w:rsidRPr="004E2F63">
              <w:rPr>
                <w:rFonts w:eastAsia="Calibri"/>
                <w:b/>
                <w:bCs/>
              </w:rPr>
              <w:t>Envisager le transfert des savoirs</w:t>
            </w:r>
          </w:p>
          <w:p w14:paraId="5C37232D" w14:textId="32953C27" w:rsidR="00760367" w:rsidRPr="004E2F63" w:rsidRDefault="00A429A3">
            <w:pPr>
              <w:widowControl w:val="0"/>
              <w:spacing w:line="240" w:lineRule="auto"/>
              <w:rPr>
                <w:rFonts w:eastAsia="Calibri"/>
              </w:rPr>
            </w:pPr>
            <w:r w:rsidRPr="004E2F63">
              <w:rPr>
                <w:rFonts w:eastAsia="Calibri"/>
              </w:rPr>
              <w:t xml:space="preserve">L’institutionnalisation des savoirs en envisageant leur transfert (invariants, savoirs liés à la situation) est-elle pensée et organisée ? </w:t>
            </w:r>
          </w:p>
          <w:p w14:paraId="4A4D55BE" w14:textId="77777777" w:rsidR="00760367" w:rsidRPr="004E2F63" w:rsidRDefault="00760367">
            <w:pPr>
              <w:widowControl w:val="0"/>
              <w:pBdr>
                <w:top w:val="nil"/>
                <w:left w:val="nil"/>
                <w:bottom w:val="nil"/>
                <w:right w:val="nil"/>
                <w:between w:val="nil"/>
              </w:pBdr>
              <w:spacing w:line="240" w:lineRule="auto"/>
              <w:rPr>
                <w:rFonts w:eastAsia="Calibri"/>
              </w:rPr>
            </w:pPr>
          </w:p>
        </w:tc>
        <w:tc>
          <w:tcPr>
            <w:tcW w:w="3012" w:type="dxa"/>
            <w:tcBorders>
              <w:left w:val="single" w:sz="12" w:space="0" w:color="000000"/>
            </w:tcBorders>
            <w:shd w:val="clear" w:color="auto" w:fill="EAF1DD" w:themeFill="accent3" w:themeFillTint="33"/>
            <w:tcMar>
              <w:top w:w="100" w:type="dxa"/>
              <w:left w:w="100" w:type="dxa"/>
              <w:bottom w:w="100" w:type="dxa"/>
              <w:right w:w="100" w:type="dxa"/>
            </w:tcMar>
          </w:tcPr>
          <w:p w14:paraId="13DF3AD5" w14:textId="783DCC17" w:rsidR="00760367" w:rsidRDefault="00A429A3">
            <w:pPr>
              <w:widowControl w:val="0"/>
              <w:pBdr>
                <w:top w:val="nil"/>
                <w:left w:val="nil"/>
                <w:bottom w:val="nil"/>
                <w:right w:val="nil"/>
                <w:between w:val="nil"/>
              </w:pBdr>
              <w:spacing w:line="240" w:lineRule="auto"/>
            </w:pPr>
            <w:r>
              <w:t>R</w:t>
            </w:r>
            <w:r w:rsidR="00313B65">
              <w:t>ien</w:t>
            </w:r>
            <w:r w:rsidR="004E2F63">
              <w:t xml:space="preserve"> n’est in</w:t>
            </w:r>
            <w:bookmarkStart w:id="0" w:name="_GoBack"/>
            <w:bookmarkEnd w:id="0"/>
            <w:r w:rsidR="004E2F63">
              <w:t>diqué</w:t>
            </w:r>
            <w:r w:rsidR="00313B65">
              <w:t xml:space="preserve"> à ce sujet</w:t>
            </w:r>
          </w:p>
        </w:tc>
        <w:tc>
          <w:tcPr>
            <w:tcW w:w="3544" w:type="dxa"/>
            <w:tcBorders>
              <w:right w:val="single" w:sz="12" w:space="0" w:color="000000"/>
            </w:tcBorders>
            <w:shd w:val="clear" w:color="auto" w:fill="EAF1DD" w:themeFill="accent3" w:themeFillTint="33"/>
            <w:tcMar>
              <w:top w:w="100" w:type="dxa"/>
              <w:left w:w="100" w:type="dxa"/>
              <w:bottom w:w="100" w:type="dxa"/>
              <w:right w:w="100" w:type="dxa"/>
            </w:tcMar>
          </w:tcPr>
          <w:p w14:paraId="75E0CAED" w14:textId="77777777" w:rsidR="00760367" w:rsidRDefault="00313B65">
            <w:pPr>
              <w:widowControl w:val="0"/>
              <w:pBdr>
                <w:top w:val="nil"/>
                <w:left w:val="nil"/>
                <w:bottom w:val="nil"/>
                <w:right w:val="nil"/>
                <w:between w:val="nil"/>
              </w:pBdr>
              <w:spacing w:line="240" w:lineRule="auto"/>
            </w:pPr>
            <w:r>
              <w:t>Rendre accessibles les savoirs travaillés et prévoir un scénario d’apprentissage</w:t>
            </w:r>
          </w:p>
          <w:p w14:paraId="4BD5E63A" w14:textId="0B65FEB2" w:rsidR="00760367" w:rsidRDefault="008958DD">
            <w:pPr>
              <w:widowControl w:val="0"/>
              <w:pBdr>
                <w:top w:val="nil"/>
                <w:left w:val="nil"/>
                <w:bottom w:val="nil"/>
                <w:right w:val="nil"/>
                <w:between w:val="nil"/>
              </w:pBdr>
              <w:spacing w:line="240" w:lineRule="auto"/>
            </w:pPr>
            <w:r>
              <w:t>Organiser un scénario qui permet</w:t>
            </w:r>
            <w:r w:rsidR="00313B65">
              <w:t xml:space="preserve"> aux étudiants de s’engager dans </w:t>
            </w:r>
            <w:r>
              <w:t xml:space="preserve">la </w:t>
            </w:r>
            <w:r w:rsidR="00313B65">
              <w:t xml:space="preserve">phase </w:t>
            </w:r>
            <w:r>
              <w:t>« </w:t>
            </w:r>
            <w:r w:rsidR="00313B65">
              <w:t>relation avec un partenaire proche comme l’EA de l’établissement, et l’organisation d’un événement</w:t>
            </w:r>
            <w:r>
              <w:t> »</w:t>
            </w:r>
            <w:r w:rsidR="00313B65">
              <w:t xml:space="preserve"> contribue à motiver les apprenants</w:t>
            </w:r>
            <w:r>
              <w:t xml:space="preserve">, </w:t>
            </w:r>
            <w:r w:rsidR="00313B65">
              <w:t>mais peu</w:t>
            </w:r>
            <w:r>
              <w:t>t</w:t>
            </w:r>
            <w:r w:rsidR="00313B65">
              <w:t xml:space="preserve"> aussi limiter l’énergie consacrée à l’institutionnalisation</w:t>
            </w:r>
          </w:p>
        </w:tc>
        <w:tc>
          <w:tcPr>
            <w:tcW w:w="2693" w:type="dxa"/>
            <w:tcBorders>
              <w:left w:val="single" w:sz="12" w:space="0" w:color="000000"/>
            </w:tcBorders>
            <w:shd w:val="clear" w:color="auto" w:fill="F2DBDB" w:themeFill="accent2" w:themeFillTint="33"/>
            <w:tcMar>
              <w:top w:w="100" w:type="dxa"/>
              <w:left w:w="100" w:type="dxa"/>
              <w:bottom w:w="100" w:type="dxa"/>
              <w:right w:w="100" w:type="dxa"/>
            </w:tcMar>
          </w:tcPr>
          <w:p w14:paraId="67EE09EC" w14:textId="1068D9B4" w:rsidR="00760367" w:rsidRDefault="00313B65">
            <w:pPr>
              <w:widowControl w:val="0"/>
              <w:pBdr>
                <w:top w:val="nil"/>
                <w:left w:val="nil"/>
                <w:bottom w:val="nil"/>
                <w:right w:val="nil"/>
                <w:between w:val="nil"/>
              </w:pBdr>
              <w:spacing w:line="240" w:lineRule="auto"/>
            </w:pPr>
            <w:r>
              <w:t xml:space="preserve">Elle est visible dans la production pour les capacités C1.2 </w:t>
            </w:r>
            <w:r w:rsidR="008958DD">
              <w:t>et C</w:t>
            </w:r>
            <w:r>
              <w:t>5.3</w:t>
            </w:r>
          </w:p>
        </w:tc>
        <w:tc>
          <w:tcPr>
            <w:tcW w:w="3402" w:type="dxa"/>
            <w:tcBorders>
              <w:right w:val="single" w:sz="12" w:space="0" w:color="000000"/>
            </w:tcBorders>
            <w:shd w:val="clear" w:color="auto" w:fill="F2DBDB" w:themeFill="accent2" w:themeFillTint="33"/>
            <w:tcMar>
              <w:top w:w="100" w:type="dxa"/>
              <w:left w:w="100" w:type="dxa"/>
              <w:bottom w:w="100" w:type="dxa"/>
              <w:right w:w="100" w:type="dxa"/>
            </w:tcMar>
          </w:tcPr>
          <w:p w14:paraId="31FF8E2F" w14:textId="3949ABE1" w:rsidR="00760367" w:rsidRDefault="005E4443">
            <w:pPr>
              <w:widowControl w:val="0"/>
              <w:pBdr>
                <w:top w:val="nil"/>
                <w:left w:val="nil"/>
                <w:bottom w:val="nil"/>
                <w:right w:val="nil"/>
                <w:between w:val="nil"/>
              </w:pBdr>
              <w:spacing w:line="240" w:lineRule="auto"/>
            </w:pPr>
            <w:r w:rsidRPr="004E2F63">
              <w:t xml:space="preserve">L’institutionnalisation des savoirs </w:t>
            </w:r>
            <w:r w:rsidR="00501837" w:rsidRPr="004E2F63">
              <w:t>est sûrement</w:t>
            </w:r>
            <w:r w:rsidRPr="004E2F63">
              <w:t xml:space="preserve"> prévue dans le scénario et bien </w:t>
            </w:r>
            <w:r w:rsidR="00501837" w:rsidRPr="004E2F63">
              <w:t xml:space="preserve">explicité </w:t>
            </w:r>
            <w:r w:rsidRPr="004E2F63">
              <w:t>auprès des apprenants.</w:t>
            </w:r>
            <w:r>
              <w:t xml:space="preserve"> </w:t>
            </w:r>
          </w:p>
        </w:tc>
      </w:tr>
      <w:tr w:rsidR="00760367" w14:paraId="0AACF7B2" w14:textId="77777777" w:rsidTr="00D15EF9">
        <w:tc>
          <w:tcPr>
            <w:tcW w:w="2790" w:type="dxa"/>
            <w:tcBorders>
              <w:left w:val="single" w:sz="12" w:space="0" w:color="000000"/>
              <w:right w:val="single" w:sz="12" w:space="0" w:color="000000"/>
            </w:tcBorders>
            <w:shd w:val="clear" w:color="auto" w:fill="F2F2F2" w:themeFill="background1" w:themeFillShade="F2"/>
            <w:tcMar>
              <w:top w:w="100" w:type="dxa"/>
              <w:left w:w="100" w:type="dxa"/>
              <w:bottom w:w="100" w:type="dxa"/>
              <w:right w:w="100" w:type="dxa"/>
            </w:tcMar>
          </w:tcPr>
          <w:p w14:paraId="605DEC1A" w14:textId="77777777" w:rsidR="00501837" w:rsidRPr="004E2F63" w:rsidRDefault="00501837">
            <w:pPr>
              <w:widowControl w:val="0"/>
              <w:spacing w:line="240" w:lineRule="auto"/>
              <w:rPr>
                <w:rFonts w:eastAsia="Calibri"/>
                <w:b/>
                <w:bCs/>
              </w:rPr>
            </w:pPr>
            <w:r w:rsidRPr="004E2F63">
              <w:rPr>
                <w:rFonts w:eastAsia="Calibri"/>
                <w:b/>
                <w:bCs/>
              </w:rPr>
              <w:t>Explorer l’interdisciplinarité</w:t>
            </w:r>
          </w:p>
          <w:p w14:paraId="41B61799" w14:textId="14E64125" w:rsidR="00760367" w:rsidRPr="004E2F63" w:rsidRDefault="008958DD">
            <w:pPr>
              <w:widowControl w:val="0"/>
              <w:spacing w:line="240" w:lineRule="auto"/>
            </w:pPr>
            <w:r w:rsidRPr="004E2F63">
              <w:rPr>
                <w:rFonts w:eastAsia="Calibri"/>
              </w:rPr>
              <w:t xml:space="preserve">L’interdisciplinarité est-elle intégrée dans la stratégie </w:t>
            </w:r>
            <w:r w:rsidRPr="004E2F63">
              <w:rPr>
                <w:rFonts w:eastAsia="Calibri"/>
              </w:rPr>
              <w:lastRenderedPageBreak/>
              <w:t>pédagogique ?</w:t>
            </w:r>
          </w:p>
        </w:tc>
        <w:tc>
          <w:tcPr>
            <w:tcW w:w="3012" w:type="dxa"/>
            <w:tcBorders>
              <w:left w:val="single" w:sz="12" w:space="0" w:color="000000"/>
            </w:tcBorders>
            <w:shd w:val="clear" w:color="auto" w:fill="EAF1DD" w:themeFill="accent3" w:themeFillTint="33"/>
            <w:tcMar>
              <w:top w:w="100" w:type="dxa"/>
              <w:left w:w="100" w:type="dxa"/>
              <w:bottom w:w="100" w:type="dxa"/>
              <w:right w:w="100" w:type="dxa"/>
            </w:tcMar>
          </w:tcPr>
          <w:p w14:paraId="01B42220" w14:textId="77777777" w:rsidR="00760367" w:rsidRDefault="00313B65">
            <w:pPr>
              <w:widowControl w:val="0"/>
              <w:pBdr>
                <w:top w:val="nil"/>
                <w:left w:val="nil"/>
                <w:bottom w:val="nil"/>
                <w:right w:val="nil"/>
                <w:between w:val="nil"/>
              </w:pBdr>
              <w:spacing w:line="240" w:lineRule="auto"/>
            </w:pPr>
            <w:r>
              <w:lastRenderedPageBreak/>
              <w:t xml:space="preserve">Le scénario le permet </w:t>
            </w:r>
          </w:p>
        </w:tc>
        <w:tc>
          <w:tcPr>
            <w:tcW w:w="3544" w:type="dxa"/>
            <w:tcBorders>
              <w:right w:val="single" w:sz="12" w:space="0" w:color="000000"/>
            </w:tcBorders>
            <w:shd w:val="clear" w:color="auto" w:fill="EAF1DD" w:themeFill="accent3" w:themeFillTint="33"/>
            <w:tcMar>
              <w:top w:w="100" w:type="dxa"/>
              <w:left w:w="100" w:type="dxa"/>
              <w:bottom w:w="100" w:type="dxa"/>
              <w:right w:w="100" w:type="dxa"/>
            </w:tcMar>
          </w:tcPr>
          <w:p w14:paraId="768DDB6C" w14:textId="33321C64" w:rsidR="00760367" w:rsidRDefault="008958DD">
            <w:pPr>
              <w:widowControl w:val="0"/>
              <w:pBdr>
                <w:top w:val="nil"/>
                <w:left w:val="nil"/>
                <w:bottom w:val="nil"/>
                <w:right w:val="nil"/>
                <w:between w:val="nil"/>
              </w:pBdr>
              <w:spacing w:line="240" w:lineRule="auto"/>
            </w:pPr>
            <w:r>
              <w:t>Importance</w:t>
            </w:r>
            <w:r w:rsidR="00313B65">
              <w:t xml:space="preserve"> d’une approche concrète et explicite de la façon dont l’interdisciplinarité est intégrée qui aille au-delà de la </w:t>
            </w:r>
            <w:r w:rsidR="00313B65">
              <w:lastRenderedPageBreak/>
              <w:t>seule bonne volonté et du bon relationnel entre enseignants. Sinon (1) risque d’approche “émiettée” qui fait perdre du sens à la SP dont l’étude est envisagée</w:t>
            </w:r>
            <w:r>
              <w:t>,</w:t>
            </w:r>
            <w:r w:rsidR="00313B65">
              <w:t xml:space="preserve"> (2) besoin de construire des démarches robustes dans le temps où la seule bonne volonté ne suffit pas. Donc se construire en équipe une démarche, des outils pour incarner l’interdisciplinarité souhaitée, mobilisable dans plusieurs modules</w:t>
            </w:r>
            <w:r>
              <w:t xml:space="preserve">. </w:t>
            </w:r>
          </w:p>
        </w:tc>
        <w:tc>
          <w:tcPr>
            <w:tcW w:w="2693" w:type="dxa"/>
            <w:tcBorders>
              <w:left w:val="single" w:sz="12" w:space="0" w:color="000000"/>
            </w:tcBorders>
            <w:shd w:val="clear" w:color="auto" w:fill="F2DBDB" w:themeFill="accent2" w:themeFillTint="33"/>
            <w:tcMar>
              <w:top w:w="100" w:type="dxa"/>
              <w:left w:w="100" w:type="dxa"/>
              <w:bottom w:w="100" w:type="dxa"/>
              <w:right w:w="100" w:type="dxa"/>
            </w:tcMar>
          </w:tcPr>
          <w:p w14:paraId="3B27A81C" w14:textId="77777777" w:rsidR="00760367" w:rsidRDefault="00313B65">
            <w:pPr>
              <w:widowControl w:val="0"/>
              <w:pBdr>
                <w:top w:val="nil"/>
                <w:left w:val="nil"/>
                <w:bottom w:val="nil"/>
                <w:right w:val="nil"/>
                <w:between w:val="nil"/>
              </w:pBdr>
              <w:spacing w:line="240" w:lineRule="auto"/>
            </w:pPr>
            <w:r>
              <w:lastRenderedPageBreak/>
              <w:t>Elle est prévue avec sens entre ESC, doc et ZOO</w:t>
            </w:r>
          </w:p>
        </w:tc>
        <w:tc>
          <w:tcPr>
            <w:tcW w:w="3402" w:type="dxa"/>
            <w:tcBorders>
              <w:right w:val="single" w:sz="12" w:space="0" w:color="000000"/>
            </w:tcBorders>
            <w:shd w:val="clear" w:color="auto" w:fill="F2DBDB" w:themeFill="accent2" w:themeFillTint="33"/>
            <w:tcMar>
              <w:top w:w="100" w:type="dxa"/>
              <w:left w:w="100" w:type="dxa"/>
              <w:bottom w:w="100" w:type="dxa"/>
              <w:right w:w="100" w:type="dxa"/>
            </w:tcMar>
          </w:tcPr>
          <w:p w14:paraId="7B691DE6" w14:textId="7887422C" w:rsidR="00760367" w:rsidRDefault="00313B65">
            <w:pPr>
              <w:widowControl w:val="0"/>
              <w:pBdr>
                <w:top w:val="nil"/>
                <w:left w:val="nil"/>
                <w:bottom w:val="nil"/>
                <w:right w:val="nil"/>
                <w:between w:val="nil"/>
              </w:pBdr>
              <w:spacing w:line="240" w:lineRule="auto"/>
            </w:pPr>
            <w:r>
              <w:t>Importance de bien rendre visible</w:t>
            </w:r>
            <w:r w:rsidR="008958DD">
              <w:t>s</w:t>
            </w:r>
            <w:r>
              <w:t xml:space="preserve"> les apports propres à chaque discipline</w:t>
            </w:r>
            <w:r w:rsidR="00077B35">
              <w:t xml:space="preserve"> tout en montrant la puissance des </w:t>
            </w:r>
            <w:r w:rsidR="00077B35">
              <w:lastRenderedPageBreak/>
              <w:t>regards croisés</w:t>
            </w:r>
            <w:r>
              <w:t xml:space="preserve">. </w:t>
            </w:r>
          </w:p>
        </w:tc>
      </w:tr>
      <w:tr w:rsidR="00760367" w14:paraId="0ECC52C0" w14:textId="77777777" w:rsidTr="00D15EF9">
        <w:tc>
          <w:tcPr>
            <w:tcW w:w="2790" w:type="dxa"/>
            <w:tcBorders>
              <w:left w:val="single" w:sz="12" w:space="0" w:color="000000"/>
              <w:bottom w:val="single" w:sz="12" w:space="0" w:color="000000"/>
              <w:right w:val="single" w:sz="12" w:space="0" w:color="000000"/>
            </w:tcBorders>
            <w:shd w:val="clear" w:color="auto" w:fill="F2F2F2" w:themeFill="background1" w:themeFillShade="F2"/>
            <w:tcMar>
              <w:top w:w="100" w:type="dxa"/>
              <w:left w:w="100" w:type="dxa"/>
              <w:bottom w:w="100" w:type="dxa"/>
              <w:right w:w="100" w:type="dxa"/>
            </w:tcMar>
          </w:tcPr>
          <w:p w14:paraId="174E7530" w14:textId="37F27DAB" w:rsidR="00501837" w:rsidRPr="004E2F63" w:rsidRDefault="00501837" w:rsidP="008958DD">
            <w:pPr>
              <w:widowControl w:val="0"/>
              <w:spacing w:line="240" w:lineRule="auto"/>
              <w:rPr>
                <w:rFonts w:eastAsia="Calibri"/>
                <w:b/>
                <w:bCs/>
              </w:rPr>
            </w:pPr>
            <w:r w:rsidRPr="004E2F63">
              <w:rPr>
                <w:rFonts w:eastAsia="Calibri"/>
                <w:b/>
                <w:bCs/>
              </w:rPr>
              <w:t>Se permettre de faire de la situation un fil rouge de la formation</w:t>
            </w:r>
          </w:p>
          <w:p w14:paraId="10ADB6AF" w14:textId="67BB1C1A" w:rsidR="008958DD" w:rsidRPr="004E2F63" w:rsidRDefault="008958DD" w:rsidP="008958DD">
            <w:pPr>
              <w:widowControl w:val="0"/>
              <w:spacing w:line="240" w:lineRule="auto"/>
              <w:rPr>
                <w:rFonts w:eastAsia="Calibri"/>
              </w:rPr>
            </w:pPr>
            <w:r w:rsidRPr="004E2F63">
              <w:rPr>
                <w:rFonts w:eastAsia="Calibri"/>
              </w:rPr>
              <w:t xml:space="preserve">La situation professionnelle peut-elle être valorisée sur plusieurs semestres ? (possible à condition de penser en amont la capitalisation à l’échelle de l’intégralité de la formation) </w:t>
            </w:r>
          </w:p>
          <w:p w14:paraId="2CB5122B" w14:textId="77777777" w:rsidR="00760367" w:rsidRPr="004E2F63" w:rsidRDefault="00760367" w:rsidP="008958DD">
            <w:pPr>
              <w:widowControl w:val="0"/>
              <w:spacing w:line="240" w:lineRule="auto"/>
            </w:pPr>
          </w:p>
        </w:tc>
        <w:tc>
          <w:tcPr>
            <w:tcW w:w="3012" w:type="dxa"/>
            <w:tcBorders>
              <w:left w:val="single" w:sz="12" w:space="0" w:color="000000"/>
              <w:bottom w:val="single" w:sz="12" w:space="0" w:color="000000"/>
            </w:tcBorders>
            <w:shd w:val="clear" w:color="auto" w:fill="EAF1DD" w:themeFill="accent3" w:themeFillTint="33"/>
            <w:tcMar>
              <w:top w:w="100" w:type="dxa"/>
              <w:left w:w="100" w:type="dxa"/>
              <w:bottom w:w="100" w:type="dxa"/>
              <w:right w:w="100" w:type="dxa"/>
            </w:tcMar>
          </w:tcPr>
          <w:p w14:paraId="3986BAA3" w14:textId="4FC4B179" w:rsidR="00760367" w:rsidRDefault="005E4443">
            <w:pPr>
              <w:widowControl w:val="0"/>
              <w:pBdr>
                <w:top w:val="nil"/>
                <w:left w:val="nil"/>
                <w:bottom w:val="nil"/>
                <w:right w:val="nil"/>
                <w:between w:val="nil"/>
              </w:pBdr>
              <w:spacing w:line="240" w:lineRule="auto"/>
            </w:pPr>
            <w:r w:rsidRPr="004E2F63">
              <w:t>L</w:t>
            </w:r>
            <w:r w:rsidR="00313B65" w:rsidRPr="004E2F63">
              <w:t>e</w:t>
            </w:r>
            <w:r w:rsidR="00313B65">
              <w:t xml:space="preserve"> scénario le permet</w:t>
            </w:r>
          </w:p>
        </w:tc>
        <w:tc>
          <w:tcPr>
            <w:tcW w:w="3544" w:type="dxa"/>
            <w:tcBorders>
              <w:bottom w:val="single" w:sz="12" w:space="0" w:color="000000"/>
              <w:right w:val="single" w:sz="12" w:space="0" w:color="000000"/>
            </w:tcBorders>
            <w:shd w:val="clear" w:color="auto" w:fill="EAF1DD" w:themeFill="accent3" w:themeFillTint="33"/>
            <w:tcMar>
              <w:top w:w="100" w:type="dxa"/>
              <w:left w:w="100" w:type="dxa"/>
              <w:bottom w:w="100" w:type="dxa"/>
              <w:right w:w="100" w:type="dxa"/>
            </w:tcMar>
          </w:tcPr>
          <w:p w14:paraId="00B2CFD8" w14:textId="77777777" w:rsidR="00760367" w:rsidRDefault="00313B65">
            <w:pPr>
              <w:widowControl w:val="0"/>
              <w:pBdr>
                <w:top w:val="nil"/>
                <w:left w:val="nil"/>
                <w:bottom w:val="nil"/>
                <w:right w:val="nil"/>
                <w:between w:val="nil"/>
              </w:pBdr>
              <w:spacing w:line="240" w:lineRule="auto"/>
            </w:pPr>
            <w:r>
              <w:t>La SP étudiée constitue un fil rouge dont l’étude est conduite jusqu’à l’évènement phare “journée technique auprès des pro et élèves Bac pro”.</w:t>
            </w:r>
          </w:p>
          <w:p w14:paraId="66DC2FAA" w14:textId="73460654" w:rsidR="00760367" w:rsidRDefault="00313B65">
            <w:pPr>
              <w:widowControl w:val="0"/>
              <w:pBdr>
                <w:top w:val="nil"/>
                <w:left w:val="nil"/>
                <w:bottom w:val="nil"/>
                <w:right w:val="nil"/>
                <w:between w:val="nil"/>
              </w:pBdr>
              <w:spacing w:line="240" w:lineRule="auto"/>
            </w:pPr>
            <w:r>
              <w:t>Mais comme vu item antérieur, risque de lassitude possible …. La structuration de la progression en temps forts permet de limiter la lassitude</w:t>
            </w:r>
            <w:r w:rsidR="008958DD">
              <w:t>.</w:t>
            </w:r>
          </w:p>
          <w:p w14:paraId="281D6E51" w14:textId="77777777" w:rsidR="00760367" w:rsidRDefault="00760367">
            <w:pPr>
              <w:widowControl w:val="0"/>
              <w:pBdr>
                <w:top w:val="nil"/>
                <w:left w:val="nil"/>
                <w:bottom w:val="nil"/>
                <w:right w:val="nil"/>
                <w:between w:val="nil"/>
              </w:pBdr>
              <w:spacing w:line="240" w:lineRule="auto"/>
            </w:pPr>
          </w:p>
        </w:tc>
        <w:tc>
          <w:tcPr>
            <w:tcW w:w="2693" w:type="dxa"/>
            <w:tcBorders>
              <w:left w:val="single" w:sz="12" w:space="0" w:color="000000"/>
              <w:bottom w:val="single" w:sz="12" w:space="0" w:color="000000"/>
            </w:tcBorders>
            <w:shd w:val="clear" w:color="auto" w:fill="F2DBDB" w:themeFill="accent2" w:themeFillTint="33"/>
            <w:tcMar>
              <w:top w:w="100" w:type="dxa"/>
              <w:left w:w="100" w:type="dxa"/>
              <w:bottom w:w="100" w:type="dxa"/>
              <w:right w:w="100" w:type="dxa"/>
            </w:tcMar>
          </w:tcPr>
          <w:p w14:paraId="0C1DEB67" w14:textId="2D9C9E34" w:rsidR="00760367" w:rsidRDefault="005E4443">
            <w:pPr>
              <w:widowControl w:val="0"/>
              <w:pBdr>
                <w:top w:val="nil"/>
                <w:left w:val="nil"/>
                <w:bottom w:val="nil"/>
                <w:right w:val="nil"/>
                <w:between w:val="nil"/>
              </w:pBdr>
              <w:spacing w:line="240" w:lineRule="auto"/>
            </w:pPr>
            <w:r w:rsidRPr="004E2F63">
              <w:t>Le</w:t>
            </w:r>
            <w:r w:rsidR="00313B65">
              <w:t xml:space="preserve"> scénario le permet et fait sens</w:t>
            </w:r>
          </w:p>
        </w:tc>
        <w:tc>
          <w:tcPr>
            <w:tcW w:w="3402" w:type="dxa"/>
            <w:tcBorders>
              <w:bottom w:val="single" w:sz="12" w:space="0" w:color="000000"/>
              <w:right w:val="single" w:sz="12" w:space="0" w:color="000000"/>
            </w:tcBorders>
            <w:shd w:val="clear" w:color="auto" w:fill="F2DBDB" w:themeFill="accent2" w:themeFillTint="33"/>
            <w:tcMar>
              <w:top w:w="100" w:type="dxa"/>
              <w:left w:w="100" w:type="dxa"/>
              <w:bottom w:w="100" w:type="dxa"/>
              <w:right w:w="100" w:type="dxa"/>
            </w:tcMar>
          </w:tcPr>
          <w:p w14:paraId="72DC76F4" w14:textId="436CF2BF" w:rsidR="00760367" w:rsidRDefault="005E4443">
            <w:pPr>
              <w:widowControl w:val="0"/>
              <w:pBdr>
                <w:top w:val="nil"/>
                <w:left w:val="nil"/>
                <w:bottom w:val="nil"/>
                <w:right w:val="nil"/>
                <w:between w:val="nil"/>
              </w:pBdr>
              <w:spacing w:line="240" w:lineRule="auto"/>
            </w:pPr>
            <w:r w:rsidRPr="004E2F63">
              <w:t>Prendre en compte la lassitude possible des apprenants sur un cas donné. Enrichir la progression à l’aide d’autres situations professionnelles.</w:t>
            </w:r>
            <w:r>
              <w:t xml:space="preserve"> </w:t>
            </w:r>
          </w:p>
        </w:tc>
      </w:tr>
    </w:tbl>
    <w:p w14:paraId="76E3796B" w14:textId="77777777" w:rsidR="00D15EF9" w:rsidRDefault="00D15EF9">
      <w:pPr>
        <w:widowControl w:val="0"/>
        <w:spacing w:before="160" w:line="258" w:lineRule="auto"/>
        <w:ind w:right="10"/>
        <w:rPr>
          <w:rFonts w:ascii="Calibri" w:eastAsia="Calibri" w:hAnsi="Calibri" w:cs="Calibri"/>
          <w:b/>
          <w:sz w:val="24"/>
          <w:szCs w:val="24"/>
        </w:rPr>
      </w:pPr>
    </w:p>
    <w:p w14:paraId="00385BA4" w14:textId="36585C8E" w:rsidR="00760367" w:rsidRPr="004E2F63" w:rsidRDefault="00313B65">
      <w:pPr>
        <w:widowControl w:val="0"/>
        <w:spacing w:before="160" w:line="258" w:lineRule="auto"/>
        <w:ind w:right="10"/>
        <w:rPr>
          <w:rFonts w:eastAsia="Calibri"/>
          <w:b/>
          <w:sz w:val="24"/>
          <w:szCs w:val="24"/>
        </w:rPr>
      </w:pPr>
      <w:r w:rsidRPr="004E2F63">
        <w:rPr>
          <w:rFonts w:eastAsia="Calibri"/>
          <w:b/>
          <w:sz w:val="24"/>
          <w:szCs w:val="24"/>
        </w:rPr>
        <w:t xml:space="preserve">Les apprenants sont-ils accompagnés dans leurs apprentissages ? </w:t>
      </w:r>
    </w:p>
    <w:p w14:paraId="0D205801" w14:textId="77777777" w:rsidR="00760367" w:rsidRDefault="00760367">
      <w:pPr>
        <w:widowControl w:val="0"/>
        <w:spacing w:before="160" w:line="258" w:lineRule="auto"/>
        <w:ind w:right="10"/>
        <w:rPr>
          <w:rFonts w:ascii="Calibri" w:eastAsia="Calibri" w:hAnsi="Calibri" w:cs="Calibri"/>
          <w:sz w:val="24"/>
          <w:szCs w:val="24"/>
        </w:rPr>
      </w:pPr>
    </w:p>
    <w:tbl>
      <w:tblPr>
        <w:tblStyle w:val="a0"/>
        <w:tblW w:w="1544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3437"/>
        <w:gridCol w:w="2977"/>
        <w:gridCol w:w="2693"/>
        <w:gridCol w:w="3544"/>
      </w:tblGrid>
      <w:tr w:rsidR="00760367" w14:paraId="7F7DD9A4" w14:textId="77777777" w:rsidTr="00D15EF9">
        <w:tc>
          <w:tcPr>
            <w:tcW w:w="2790" w:type="dxa"/>
            <w:tcBorders>
              <w:top w:val="single" w:sz="12" w:space="0" w:color="000000"/>
              <w:left w:val="single" w:sz="12" w:space="0" w:color="000000"/>
              <w:right w:val="single" w:sz="12" w:space="0" w:color="000000"/>
            </w:tcBorders>
            <w:shd w:val="clear" w:color="auto" w:fill="F2F2F2" w:themeFill="background1" w:themeFillShade="F2"/>
            <w:tcMar>
              <w:top w:w="100" w:type="dxa"/>
              <w:left w:w="100" w:type="dxa"/>
              <w:bottom w:w="100" w:type="dxa"/>
              <w:right w:w="100" w:type="dxa"/>
            </w:tcMar>
          </w:tcPr>
          <w:p w14:paraId="2CDCE566" w14:textId="6A5AC40B" w:rsidR="00760367" w:rsidRPr="004E2F63" w:rsidRDefault="008958DD">
            <w:pPr>
              <w:widowControl w:val="0"/>
              <w:pBdr>
                <w:top w:val="nil"/>
                <w:left w:val="nil"/>
                <w:bottom w:val="nil"/>
                <w:right w:val="nil"/>
                <w:between w:val="nil"/>
              </w:pBdr>
              <w:spacing w:line="240" w:lineRule="auto"/>
              <w:rPr>
                <w:rFonts w:eastAsia="Calibri"/>
                <w:b/>
                <w:bCs/>
              </w:rPr>
            </w:pPr>
            <w:r w:rsidRPr="004E2F63">
              <w:rPr>
                <w:rFonts w:eastAsia="Calibri"/>
                <w:b/>
                <w:bCs/>
              </w:rPr>
              <w:t>Paramètres</w:t>
            </w:r>
            <w:r w:rsidR="00313B65" w:rsidRPr="004E2F63">
              <w:rPr>
                <w:rFonts w:eastAsia="Calibri"/>
                <w:b/>
                <w:bCs/>
              </w:rPr>
              <w:t xml:space="preserve"> à interroger </w:t>
            </w:r>
          </w:p>
        </w:tc>
        <w:tc>
          <w:tcPr>
            <w:tcW w:w="3437" w:type="dxa"/>
            <w:tcBorders>
              <w:top w:val="single" w:sz="12" w:space="0" w:color="000000"/>
              <w:left w:val="single" w:sz="12" w:space="0" w:color="000000"/>
            </w:tcBorders>
            <w:shd w:val="clear" w:color="auto" w:fill="EAF1DD" w:themeFill="accent3" w:themeFillTint="33"/>
            <w:tcMar>
              <w:top w:w="100" w:type="dxa"/>
              <w:left w:w="100" w:type="dxa"/>
              <w:bottom w:w="100" w:type="dxa"/>
              <w:right w:w="100" w:type="dxa"/>
            </w:tcMar>
          </w:tcPr>
          <w:p w14:paraId="25AF8255" w14:textId="77777777" w:rsidR="008958DD" w:rsidRPr="004E2F63" w:rsidRDefault="008958DD" w:rsidP="008958DD">
            <w:pPr>
              <w:widowControl w:val="0"/>
              <w:pBdr>
                <w:top w:val="nil"/>
                <w:left w:val="nil"/>
                <w:bottom w:val="nil"/>
                <w:right w:val="nil"/>
                <w:between w:val="nil"/>
              </w:pBdr>
              <w:spacing w:line="240" w:lineRule="auto"/>
              <w:rPr>
                <w:b/>
                <w:bCs/>
              </w:rPr>
            </w:pPr>
            <w:r w:rsidRPr="004E2F63">
              <w:rPr>
                <w:b/>
                <w:bCs/>
              </w:rPr>
              <w:t>Scénario mise en place pâturage tournant</w:t>
            </w:r>
          </w:p>
          <w:p w14:paraId="31594367" w14:textId="4372C9AB" w:rsidR="00760367" w:rsidRPr="004E2F63" w:rsidRDefault="00760367">
            <w:pPr>
              <w:widowControl w:val="0"/>
              <w:pBdr>
                <w:top w:val="nil"/>
                <w:left w:val="nil"/>
                <w:bottom w:val="nil"/>
                <w:right w:val="nil"/>
                <w:between w:val="nil"/>
              </w:pBdr>
              <w:spacing w:line="240" w:lineRule="auto"/>
              <w:rPr>
                <w:rFonts w:eastAsia="Calibri"/>
              </w:rPr>
            </w:pPr>
          </w:p>
        </w:tc>
        <w:tc>
          <w:tcPr>
            <w:tcW w:w="2977" w:type="dxa"/>
            <w:tcBorders>
              <w:top w:val="single" w:sz="12" w:space="0" w:color="000000"/>
              <w:right w:val="single" w:sz="12" w:space="0" w:color="000000"/>
            </w:tcBorders>
            <w:shd w:val="clear" w:color="auto" w:fill="EAF1DD" w:themeFill="accent3" w:themeFillTint="33"/>
            <w:tcMar>
              <w:top w:w="100" w:type="dxa"/>
              <w:left w:w="100" w:type="dxa"/>
              <w:bottom w:w="100" w:type="dxa"/>
              <w:right w:w="100" w:type="dxa"/>
            </w:tcMar>
          </w:tcPr>
          <w:p w14:paraId="487B8A57" w14:textId="4078EF8E" w:rsidR="00760367" w:rsidRPr="004E2F63" w:rsidRDefault="008958DD">
            <w:pPr>
              <w:widowControl w:val="0"/>
              <w:pBdr>
                <w:top w:val="nil"/>
                <w:left w:val="nil"/>
                <w:bottom w:val="nil"/>
                <w:right w:val="nil"/>
                <w:between w:val="nil"/>
              </w:pBdr>
              <w:spacing w:line="240" w:lineRule="auto"/>
              <w:rPr>
                <w:rFonts w:eastAsia="Calibri"/>
              </w:rPr>
            </w:pPr>
            <w:r w:rsidRPr="004E2F63">
              <w:rPr>
                <w:b/>
                <w:bCs/>
              </w:rPr>
              <w:t>Observations / points de vigilance / prolongements</w:t>
            </w:r>
          </w:p>
        </w:tc>
        <w:tc>
          <w:tcPr>
            <w:tcW w:w="2693" w:type="dxa"/>
            <w:tcBorders>
              <w:top w:val="single" w:sz="12" w:space="0" w:color="000000"/>
              <w:left w:val="single" w:sz="12" w:space="0" w:color="000000"/>
            </w:tcBorders>
            <w:shd w:val="clear" w:color="auto" w:fill="F2DBDB" w:themeFill="accent2" w:themeFillTint="33"/>
            <w:tcMar>
              <w:top w:w="100" w:type="dxa"/>
              <w:left w:w="100" w:type="dxa"/>
              <w:bottom w:w="100" w:type="dxa"/>
              <w:right w:w="100" w:type="dxa"/>
            </w:tcMar>
          </w:tcPr>
          <w:p w14:paraId="46770B7A" w14:textId="77777777" w:rsidR="00760367" w:rsidRPr="004E2F63" w:rsidRDefault="00313B65" w:rsidP="008958DD">
            <w:pPr>
              <w:widowControl w:val="0"/>
              <w:spacing w:line="240" w:lineRule="auto"/>
              <w:rPr>
                <w:b/>
                <w:bCs/>
              </w:rPr>
            </w:pPr>
            <w:r w:rsidRPr="004E2F63">
              <w:rPr>
                <w:rFonts w:eastAsia="Calibri"/>
                <w:b/>
                <w:bCs/>
              </w:rPr>
              <w:t>Scénario abattage à la ferme</w:t>
            </w:r>
          </w:p>
        </w:tc>
        <w:tc>
          <w:tcPr>
            <w:tcW w:w="3544" w:type="dxa"/>
            <w:tcBorders>
              <w:top w:val="single" w:sz="12" w:space="0" w:color="000000"/>
              <w:right w:val="single" w:sz="12" w:space="0" w:color="000000"/>
            </w:tcBorders>
            <w:shd w:val="clear" w:color="auto" w:fill="F2DBDB" w:themeFill="accent2" w:themeFillTint="33"/>
            <w:tcMar>
              <w:top w:w="100" w:type="dxa"/>
              <w:left w:w="100" w:type="dxa"/>
              <w:bottom w:w="100" w:type="dxa"/>
              <w:right w:w="100" w:type="dxa"/>
            </w:tcMar>
          </w:tcPr>
          <w:p w14:paraId="60001DA3" w14:textId="3CEA2CA3" w:rsidR="00760367" w:rsidRPr="004E2F63" w:rsidRDefault="008958DD" w:rsidP="008958DD">
            <w:pPr>
              <w:widowControl w:val="0"/>
              <w:spacing w:line="240" w:lineRule="auto"/>
            </w:pPr>
            <w:r w:rsidRPr="004E2F63">
              <w:rPr>
                <w:b/>
                <w:bCs/>
              </w:rPr>
              <w:t>Observations / points de vigilance / prolongements</w:t>
            </w:r>
          </w:p>
        </w:tc>
      </w:tr>
      <w:tr w:rsidR="00760367" w14:paraId="0B9C4FE8" w14:textId="77777777" w:rsidTr="00D15EF9">
        <w:tc>
          <w:tcPr>
            <w:tcW w:w="2790" w:type="dxa"/>
            <w:tcBorders>
              <w:left w:val="single" w:sz="12" w:space="0" w:color="000000"/>
              <w:right w:val="single" w:sz="12" w:space="0" w:color="000000"/>
            </w:tcBorders>
            <w:shd w:val="clear" w:color="auto" w:fill="F2F2F2" w:themeFill="background1" w:themeFillShade="F2"/>
            <w:tcMar>
              <w:top w:w="100" w:type="dxa"/>
              <w:left w:w="100" w:type="dxa"/>
              <w:bottom w:w="100" w:type="dxa"/>
              <w:right w:w="100" w:type="dxa"/>
            </w:tcMar>
          </w:tcPr>
          <w:p w14:paraId="6CFBB298" w14:textId="77777777" w:rsidR="002E6CED" w:rsidRPr="002E6CED" w:rsidRDefault="002E6CED" w:rsidP="002E6CED">
            <w:pPr>
              <w:widowControl w:val="0"/>
              <w:spacing w:line="258" w:lineRule="auto"/>
              <w:ind w:right="10"/>
              <w:rPr>
                <w:rFonts w:eastAsia="Calibri"/>
                <w:b/>
                <w:bCs/>
              </w:rPr>
            </w:pPr>
            <w:r w:rsidRPr="002E6CED">
              <w:rPr>
                <w:rFonts w:eastAsia="Calibri"/>
                <w:b/>
                <w:bCs/>
              </w:rPr>
              <w:lastRenderedPageBreak/>
              <w:t>Equiper d’outils et de méthodes</w:t>
            </w:r>
          </w:p>
          <w:p w14:paraId="1A5E36BD" w14:textId="2B66BE23" w:rsidR="008958DD" w:rsidRPr="004E2F63" w:rsidRDefault="008958DD">
            <w:pPr>
              <w:widowControl w:val="0"/>
              <w:spacing w:before="160" w:line="258" w:lineRule="auto"/>
              <w:ind w:right="10"/>
              <w:rPr>
                <w:rFonts w:eastAsia="Calibri"/>
              </w:rPr>
            </w:pPr>
            <w:r w:rsidRPr="004E2F63">
              <w:rPr>
                <w:rFonts w:eastAsia="Calibri"/>
              </w:rPr>
              <w:t>Les apprenants sont-ils guidés et outillés pour comprendre, analyser la situation pro et envisager des pistes d’évolution ?</w:t>
            </w:r>
          </w:p>
          <w:p w14:paraId="1A136A35" w14:textId="1F991783" w:rsidR="00760367" w:rsidRPr="004E2F63" w:rsidRDefault="00760367">
            <w:pPr>
              <w:widowControl w:val="0"/>
              <w:spacing w:before="160" w:line="258" w:lineRule="auto"/>
              <w:ind w:right="10"/>
              <w:rPr>
                <w:rFonts w:eastAsia="Calibri"/>
              </w:rPr>
            </w:pPr>
          </w:p>
        </w:tc>
        <w:tc>
          <w:tcPr>
            <w:tcW w:w="3437" w:type="dxa"/>
            <w:tcBorders>
              <w:left w:val="single" w:sz="12" w:space="0" w:color="000000"/>
            </w:tcBorders>
            <w:shd w:val="clear" w:color="auto" w:fill="EAF1DD" w:themeFill="accent3" w:themeFillTint="33"/>
            <w:tcMar>
              <w:top w:w="100" w:type="dxa"/>
              <w:left w:w="100" w:type="dxa"/>
              <w:bottom w:w="100" w:type="dxa"/>
              <w:right w:w="100" w:type="dxa"/>
            </w:tcMar>
          </w:tcPr>
          <w:p w14:paraId="75DE3005" w14:textId="4FAEDA0C" w:rsidR="00760367" w:rsidRPr="004E2F63" w:rsidRDefault="008958DD">
            <w:pPr>
              <w:widowControl w:val="0"/>
              <w:spacing w:before="160" w:line="258" w:lineRule="auto"/>
              <w:ind w:right="10"/>
              <w:rPr>
                <w:rFonts w:eastAsia="Calibri"/>
              </w:rPr>
            </w:pPr>
            <w:r w:rsidRPr="004E2F63">
              <w:rPr>
                <w:rFonts w:eastAsia="Calibri"/>
              </w:rPr>
              <w:t xml:space="preserve">Des </w:t>
            </w:r>
            <w:r w:rsidR="00313B65" w:rsidRPr="004E2F63">
              <w:rPr>
                <w:rFonts w:eastAsia="Calibri"/>
              </w:rPr>
              <w:t>tentative</w:t>
            </w:r>
            <w:r w:rsidRPr="004E2F63">
              <w:rPr>
                <w:rFonts w:eastAsia="Calibri"/>
              </w:rPr>
              <w:t>s sont indiquées</w:t>
            </w:r>
          </w:p>
        </w:tc>
        <w:tc>
          <w:tcPr>
            <w:tcW w:w="2977" w:type="dxa"/>
            <w:tcBorders>
              <w:right w:val="single" w:sz="12" w:space="0" w:color="000000"/>
            </w:tcBorders>
            <w:shd w:val="clear" w:color="auto" w:fill="EAF1DD" w:themeFill="accent3" w:themeFillTint="33"/>
            <w:tcMar>
              <w:top w:w="100" w:type="dxa"/>
              <w:left w:w="100" w:type="dxa"/>
              <w:bottom w:w="100" w:type="dxa"/>
              <w:right w:w="100" w:type="dxa"/>
            </w:tcMar>
          </w:tcPr>
          <w:p w14:paraId="67E51591" w14:textId="6B9333AF" w:rsidR="00760367" w:rsidRPr="004E2F63" w:rsidRDefault="008958DD">
            <w:pPr>
              <w:widowControl w:val="0"/>
              <w:spacing w:before="160" w:line="258" w:lineRule="auto"/>
              <w:ind w:right="10"/>
              <w:rPr>
                <w:rFonts w:eastAsia="Calibri"/>
              </w:rPr>
            </w:pPr>
            <w:r w:rsidRPr="004E2F63">
              <w:rPr>
                <w:rFonts w:eastAsia="Calibri"/>
              </w:rPr>
              <w:t>E</w:t>
            </w:r>
            <w:r w:rsidR="00313B65" w:rsidRPr="004E2F63">
              <w:rPr>
                <w:rFonts w:eastAsia="Calibri"/>
              </w:rPr>
              <w:t>n lien avec le contexte démarche</w:t>
            </w:r>
          </w:p>
        </w:tc>
        <w:tc>
          <w:tcPr>
            <w:tcW w:w="2693" w:type="dxa"/>
            <w:tcBorders>
              <w:left w:val="single" w:sz="12" w:space="0" w:color="000000"/>
            </w:tcBorders>
            <w:shd w:val="clear" w:color="auto" w:fill="F2DBDB" w:themeFill="accent2" w:themeFillTint="33"/>
            <w:tcMar>
              <w:top w:w="100" w:type="dxa"/>
              <w:left w:w="100" w:type="dxa"/>
              <w:bottom w:w="100" w:type="dxa"/>
              <w:right w:w="100" w:type="dxa"/>
            </w:tcMar>
          </w:tcPr>
          <w:p w14:paraId="5A794F4A" w14:textId="77777777" w:rsidR="00760367" w:rsidRPr="004E2F63" w:rsidRDefault="00313B65">
            <w:pPr>
              <w:widowControl w:val="0"/>
              <w:pBdr>
                <w:top w:val="nil"/>
                <w:left w:val="nil"/>
                <w:bottom w:val="nil"/>
                <w:right w:val="nil"/>
                <w:between w:val="nil"/>
              </w:pBdr>
              <w:spacing w:line="240" w:lineRule="auto"/>
              <w:rPr>
                <w:rFonts w:eastAsia="Calibri"/>
              </w:rPr>
            </w:pPr>
            <w:r w:rsidRPr="004E2F63">
              <w:rPr>
                <w:rFonts w:eastAsia="Calibri"/>
              </w:rPr>
              <w:t>Il semble que oui au sens où les étapes du travail semblent bien cadrées</w:t>
            </w:r>
          </w:p>
        </w:tc>
        <w:tc>
          <w:tcPr>
            <w:tcW w:w="3544" w:type="dxa"/>
            <w:tcBorders>
              <w:right w:val="single" w:sz="12" w:space="0" w:color="000000"/>
            </w:tcBorders>
            <w:shd w:val="clear" w:color="auto" w:fill="F2DBDB" w:themeFill="accent2" w:themeFillTint="33"/>
            <w:tcMar>
              <w:top w:w="100" w:type="dxa"/>
              <w:left w:w="100" w:type="dxa"/>
              <w:bottom w:w="100" w:type="dxa"/>
              <w:right w:w="100" w:type="dxa"/>
            </w:tcMar>
          </w:tcPr>
          <w:p w14:paraId="7AE3AE22" w14:textId="2610A0EF" w:rsidR="00760367" w:rsidRPr="004E2F63" w:rsidRDefault="005E4443">
            <w:pPr>
              <w:widowControl w:val="0"/>
              <w:pBdr>
                <w:top w:val="nil"/>
                <w:left w:val="nil"/>
                <w:bottom w:val="nil"/>
                <w:right w:val="nil"/>
                <w:between w:val="nil"/>
              </w:pBdr>
              <w:spacing w:line="240" w:lineRule="auto"/>
              <w:rPr>
                <w:rFonts w:eastAsia="Calibri"/>
              </w:rPr>
            </w:pPr>
            <w:r w:rsidRPr="004E2F63">
              <w:rPr>
                <w:rFonts w:eastAsia="Calibri"/>
              </w:rPr>
              <w:t xml:space="preserve">La grille d’analyse de situation professionnelle peut être retravaillée avec les apprenants afin qu’ils se l’approprient. </w:t>
            </w:r>
          </w:p>
        </w:tc>
      </w:tr>
      <w:tr w:rsidR="00760367" w14:paraId="27398841" w14:textId="77777777" w:rsidTr="00D15EF9">
        <w:tc>
          <w:tcPr>
            <w:tcW w:w="2790" w:type="dxa"/>
            <w:tcBorders>
              <w:left w:val="single" w:sz="12" w:space="0" w:color="000000"/>
              <w:right w:val="single" w:sz="12" w:space="0" w:color="000000"/>
            </w:tcBorders>
            <w:shd w:val="clear" w:color="auto" w:fill="F2F2F2" w:themeFill="background1" w:themeFillShade="F2"/>
            <w:tcMar>
              <w:top w:w="100" w:type="dxa"/>
              <w:left w:w="100" w:type="dxa"/>
              <w:bottom w:w="100" w:type="dxa"/>
              <w:right w:w="100" w:type="dxa"/>
            </w:tcMar>
          </w:tcPr>
          <w:p w14:paraId="12D74621" w14:textId="77777777" w:rsidR="002E6CED" w:rsidRPr="002E6CED" w:rsidRDefault="002E6CED" w:rsidP="002E6CED">
            <w:pPr>
              <w:widowControl w:val="0"/>
              <w:spacing w:line="258" w:lineRule="auto"/>
              <w:ind w:right="10"/>
              <w:rPr>
                <w:rFonts w:eastAsia="Calibri"/>
                <w:b/>
                <w:bCs/>
              </w:rPr>
            </w:pPr>
            <w:r w:rsidRPr="002E6CED">
              <w:rPr>
                <w:rFonts w:eastAsia="Calibri"/>
                <w:b/>
                <w:bCs/>
              </w:rPr>
              <w:t>Identifier des freins, obstacles et leviers au changement</w:t>
            </w:r>
          </w:p>
          <w:p w14:paraId="66BAB220" w14:textId="77777777" w:rsidR="008958DD" w:rsidRPr="004E2F63" w:rsidRDefault="008958DD" w:rsidP="008958DD">
            <w:pPr>
              <w:widowControl w:val="0"/>
              <w:spacing w:before="160" w:line="258" w:lineRule="auto"/>
              <w:ind w:right="10"/>
              <w:rPr>
                <w:rFonts w:eastAsia="Calibri"/>
              </w:rPr>
            </w:pPr>
            <w:r w:rsidRPr="004E2F63">
              <w:rPr>
                <w:rFonts w:eastAsia="Calibri"/>
              </w:rPr>
              <w:t xml:space="preserve">Les représentations des apprenants pouvant constituer des freins et des obstacles à leur propre changement sont-elles identifiées ? </w:t>
            </w:r>
          </w:p>
          <w:p w14:paraId="23506AD1" w14:textId="77777777" w:rsidR="008958DD" w:rsidRPr="004E2F63" w:rsidRDefault="008958DD" w:rsidP="008958DD">
            <w:pPr>
              <w:widowControl w:val="0"/>
              <w:spacing w:before="160" w:line="258" w:lineRule="auto"/>
              <w:ind w:right="10"/>
              <w:rPr>
                <w:rFonts w:eastAsia="Calibri"/>
              </w:rPr>
            </w:pPr>
            <w:r w:rsidRPr="004E2F63">
              <w:rPr>
                <w:rFonts w:eastAsia="Calibri"/>
              </w:rPr>
              <w:t>Identifier des freins, obstacles et leviers au changement</w:t>
            </w:r>
          </w:p>
          <w:p w14:paraId="5FE81D58" w14:textId="1031F135" w:rsidR="008958DD" w:rsidRPr="004E2F63" w:rsidRDefault="008958DD" w:rsidP="008958DD">
            <w:pPr>
              <w:widowControl w:val="0"/>
              <w:spacing w:before="160" w:line="258" w:lineRule="auto"/>
              <w:ind w:right="10"/>
              <w:rPr>
                <w:rFonts w:eastAsia="Calibri"/>
              </w:rPr>
            </w:pPr>
            <w:r w:rsidRPr="004E2F63">
              <w:rPr>
                <w:rFonts w:eastAsia="Calibri"/>
              </w:rPr>
              <w:t>Il est important de penser aux aspects sociologiques et globaux</w:t>
            </w:r>
          </w:p>
          <w:p w14:paraId="3E47C1EA" w14:textId="31BBC667" w:rsidR="00760367" w:rsidRPr="004E2F63" w:rsidRDefault="00760367" w:rsidP="008958DD">
            <w:pPr>
              <w:widowControl w:val="0"/>
              <w:spacing w:before="160" w:line="258" w:lineRule="auto"/>
              <w:ind w:right="10"/>
              <w:rPr>
                <w:rFonts w:eastAsia="Calibri"/>
                <w:highlight w:val="yellow"/>
              </w:rPr>
            </w:pPr>
          </w:p>
        </w:tc>
        <w:tc>
          <w:tcPr>
            <w:tcW w:w="3437" w:type="dxa"/>
            <w:tcBorders>
              <w:left w:val="single" w:sz="12" w:space="0" w:color="000000"/>
            </w:tcBorders>
            <w:shd w:val="clear" w:color="auto" w:fill="EAF1DD" w:themeFill="accent3" w:themeFillTint="33"/>
            <w:tcMar>
              <w:top w:w="100" w:type="dxa"/>
              <w:left w:w="100" w:type="dxa"/>
              <w:bottom w:w="100" w:type="dxa"/>
              <w:right w:w="100" w:type="dxa"/>
            </w:tcMar>
          </w:tcPr>
          <w:p w14:paraId="61E7078C" w14:textId="67ECDB8D" w:rsidR="00760367" w:rsidRPr="004E2F63" w:rsidRDefault="008958DD">
            <w:pPr>
              <w:widowControl w:val="0"/>
              <w:pBdr>
                <w:top w:val="nil"/>
                <w:left w:val="nil"/>
                <w:bottom w:val="nil"/>
                <w:right w:val="nil"/>
                <w:between w:val="nil"/>
              </w:pBdr>
              <w:spacing w:line="240" w:lineRule="auto"/>
              <w:rPr>
                <w:rFonts w:eastAsia="Calibri"/>
              </w:rPr>
            </w:pPr>
            <w:r w:rsidRPr="004E2F63">
              <w:rPr>
                <w:rFonts w:eastAsia="Calibri"/>
              </w:rPr>
              <w:t>Difficile</w:t>
            </w:r>
            <w:r w:rsidR="00313B65" w:rsidRPr="004E2F63">
              <w:rPr>
                <w:rFonts w:eastAsia="Calibri"/>
              </w:rPr>
              <w:t xml:space="preserve"> à dire car ce niveau de détail n’est pas abordé mais prévision de travaux de groupes, mise en commun propices aux échanges</w:t>
            </w:r>
            <w:r w:rsidRPr="004E2F63">
              <w:rPr>
                <w:rFonts w:eastAsia="Calibri"/>
              </w:rPr>
              <w:t>,</w:t>
            </w:r>
            <w:r w:rsidR="00313B65" w:rsidRPr="004E2F63">
              <w:rPr>
                <w:rFonts w:eastAsia="Calibri"/>
              </w:rPr>
              <w:t xml:space="preserve"> à la formulation et à l’évolution </w:t>
            </w:r>
            <w:r w:rsidR="00077B35" w:rsidRPr="004E2F63">
              <w:rPr>
                <w:rFonts w:eastAsia="Calibri"/>
              </w:rPr>
              <w:t>des</w:t>
            </w:r>
            <w:r w:rsidR="00313B65" w:rsidRPr="004E2F63">
              <w:rPr>
                <w:rFonts w:eastAsia="Calibri"/>
              </w:rPr>
              <w:t xml:space="preserve"> représentation</w:t>
            </w:r>
            <w:r w:rsidR="00077B35" w:rsidRPr="004E2F63">
              <w:rPr>
                <w:rFonts w:eastAsia="Calibri"/>
              </w:rPr>
              <w:t>s</w:t>
            </w:r>
            <w:r w:rsidR="00313B65" w:rsidRPr="004E2F63">
              <w:rPr>
                <w:rFonts w:eastAsia="Calibri"/>
              </w:rPr>
              <w:t xml:space="preserve"> des </w:t>
            </w:r>
            <w:r w:rsidR="00077B35" w:rsidRPr="004E2F63">
              <w:rPr>
                <w:rFonts w:eastAsia="Calibri"/>
              </w:rPr>
              <w:t>apprenants</w:t>
            </w:r>
          </w:p>
        </w:tc>
        <w:tc>
          <w:tcPr>
            <w:tcW w:w="2977" w:type="dxa"/>
            <w:tcBorders>
              <w:right w:val="single" w:sz="12" w:space="0" w:color="000000"/>
            </w:tcBorders>
            <w:shd w:val="clear" w:color="auto" w:fill="EAF1DD" w:themeFill="accent3" w:themeFillTint="33"/>
            <w:tcMar>
              <w:top w:w="100" w:type="dxa"/>
              <w:left w:w="100" w:type="dxa"/>
              <w:bottom w:w="100" w:type="dxa"/>
              <w:right w:w="100" w:type="dxa"/>
            </w:tcMar>
          </w:tcPr>
          <w:p w14:paraId="77196205" w14:textId="2E38E44C" w:rsidR="00760367" w:rsidRPr="004E2F63" w:rsidRDefault="008958DD">
            <w:pPr>
              <w:widowControl w:val="0"/>
              <w:pBdr>
                <w:top w:val="nil"/>
                <w:left w:val="nil"/>
                <w:bottom w:val="nil"/>
                <w:right w:val="nil"/>
                <w:between w:val="nil"/>
              </w:pBdr>
              <w:spacing w:line="240" w:lineRule="auto"/>
              <w:rPr>
                <w:rFonts w:eastAsia="Calibri"/>
              </w:rPr>
            </w:pPr>
            <w:r w:rsidRPr="004E2F63">
              <w:rPr>
                <w:rFonts w:eastAsia="Calibri"/>
              </w:rPr>
              <w:t>U</w:t>
            </w:r>
            <w:r w:rsidR="00313B65" w:rsidRPr="004E2F63">
              <w:rPr>
                <w:rFonts w:eastAsia="Calibri"/>
              </w:rPr>
              <w:t>n enjeu d’image de l’EA de l’EPL est signalé : ses missions, les attentes des parties prenantes peuvent être utilisé</w:t>
            </w:r>
            <w:r w:rsidRPr="004E2F63">
              <w:rPr>
                <w:rFonts w:eastAsia="Calibri"/>
              </w:rPr>
              <w:t>e</w:t>
            </w:r>
            <w:r w:rsidR="00313B65" w:rsidRPr="004E2F63">
              <w:rPr>
                <w:rFonts w:eastAsia="Calibri"/>
              </w:rPr>
              <w:t>s pour alimenter cette phase d’identification des freins-obstacles et leviers</w:t>
            </w:r>
          </w:p>
        </w:tc>
        <w:tc>
          <w:tcPr>
            <w:tcW w:w="2693" w:type="dxa"/>
            <w:tcBorders>
              <w:left w:val="single" w:sz="12" w:space="0" w:color="000000"/>
            </w:tcBorders>
            <w:shd w:val="clear" w:color="auto" w:fill="F2DBDB" w:themeFill="accent2" w:themeFillTint="33"/>
            <w:tcMar>
              <w:top w:w="100" w:type="dxa"/>
              <w:left w:w="100" w:type="dxa"/>
              <w:bottom w:w="100" w:type="dxa"/>
              <w:right w:w="100" w:type="dxa"/>
            </w:tcMar>
          </w:tcPr>
          <w:p w14:paraId="23D243B1" w14:textId="77777777" w:rsidR="00760367" w:rsidRPr="004E2F63" w:rsidRDefault="00313B65">
            <w:pPr>
              <w:widowControl w:val="0"/>
              <w:pBdr>
                <w:top w:val="nil"/>
                <w:left w:val="nil"/>
                <w:bottom w:val="nil"/>
                <w:right w:val="nil"/>
                <w:between w:val="nil"/>
              </w:pBdr>
              <w:spacing w:line="240" w:lineRule="auto"/>
              <w:rPr>
                <w:rFonts w:eastAsia="Calibri"/>
              </w:rPr>
            </w:pPr>
            <w:r w:rsidRPr="004E2F63">
              <w:rPr>
                <w:rFonts w:eastAsia="Calibri"/>
              </w:rPr>
              <w:t>Le travail à partir des deux échelles répond bien à cette attente</w:t>
            </w:r>
          </w:p>
        </w:tc>
        <w:tc>
          <w:tcPr>
            <w:tcW w:w="3544" w:type="dxa"/>
            <w:tcBorders>
              <w:right w:val="single" w:sz="12" w:space="0" w:color="000000"/>
            </w:tcBorders>
            <w:shd w:val="clear" w:color="auto" w:fill="F2DBDB" w:themeFill="accent2" w:themeFillTint="33"/>
            <w:tcMar>
              <w:top w:w="100" w:type="dxa"/>
              <w:left w:w="100" w:type="dxa"/>
              <w:bottom w:w="100" w:type="dxa"/>
              <w:right w:w="100" w:type="dxa"/>
            </w:tcMar>
          </w:tcPr>
          <w:p w14:paraId="547BAA1A" w14:textId="67E8157B" w:rsidR="00760367" w:rsidRPr="004E2F63" w:rsidRDefault="005E4443">
            <w:pPr>
              <w:widowControl w:val="0"/>
              <w:pBdr>
                <w:top w:val="nil"/>
                <w:left w:val="nil"/>
                <w:bottom w:val="nil"/>
                <w:right w:val="nil"/>
                <w:between w:val="nil"/>
              </w:pBdr>
              <w:spacing w:line="240" w:lineRule="auto"/>
              <w:rPr>
                <w:rFonts w:eastAsia="Calibri"/>
              </w:rPr>
            </w:pPr>
            <w:r w:rsidRPr="004E2F63">
              <w:rPr>
                <w:rFonts w:eastAsia="Calibri"/>
              </w:rPr>
              <w:t xml:space="preserve">Il est important de systématiser le travail sur les leviers mobilisables en réponse aux freins identifiés. </w:t>
            </w:r>
          </w:p>
        </w:tc>
      </w:tr>
      <w:tr w:rsidR="00760367" w14:paraId="46F2C6BD" w14:textId="77777777" w:rsidTr="00D15EF9">
        <w:tc>
          <w:tcPr>
            <w:tcW w:w="2790" w:type="dxa"/>
            <w:tcBorders>
              <w:left w:val="single" w:sz="12" w:space="0" w:color="000000"/>
              <w:right w:val="single" w:sz="12" w:space="0" w:color="000000"/>
            </w:tcBorders>
            <w:shd w:val="clear" w:color="auto" w:fill="F2F2F2" w:themeFill="background1" w:themeFillShade="F2"/>
            <w:tcMar>
              <w:top w:w="100" w:type="dxa"/>
              <w:left w:w="100" w:type="dxa"/>
              <w:bottom w:w="100" w:type="dxa"/>
              <w:right w:w="100" w:type="dxa"/>
            </w:tcMar>
          </w:tcPr>
          <w:p w14:paraId="2FFE8BA6" w14:textId="77777777" w:rsidR="002E6CED" w:rsidRPr="002E6CED" w:rsidRDefault="002E6CED" w:rsidP="002E6CED">
            <w:pPr>
              <w:widowControl w:val="0"/>
              <w:spacing w:line="240" w:lineRule="auto"/>
              <w:ind w:right="10"/>
              <w:rPr>
                <w:rFonts w:eastAsia="Calibri"/>
                <w:b/>
                <w:bCs/>
              </w:rPr>
            </w:pPr>
            <w:r w:rsidRPr="002E6CED">
              <w:rPr>
                <w:rFonts w:eastAsia="Calibri"/>
                <w:b/>
                <w:bCs/>
              </w:rPr>
              <w:t>Amener à se poser des questions, à solliciter des ressources</w:t>
            </w:r>
          </w:p>
          <w:p w14:paraId="652CF32A" w14:textId="77777777" w:rsidR="00760367" w:rsidRPr="004E2F63" w:rsidRDefault="00313B65">
            <w:pPr>
              <w:widowControl w:val="0"/>
              <w:spacing w:before="160" w:line="258" w:lineRule="auto"/>
              <w:ind w:right="10"/>
              <w:rPr>
                <w:rFonts w:eastAsia="Calibri"/>
              </w:rPr>
            </w:pPr>
            <w:r w:rsidRPr="004E2F63">
              <w:rPr>
                <w:rFonts w:eastAsia="Calibri"/>
              </w:rPr>
              <w:t xml:space="preserve">Les apprenants sont-ils accompagnés à apprendre à interroger et convoquer les savoirs en </w:t>
            </w:r>
            <w:r w:rsidRPr="004E2F63">
              <w:rPr>
                <w:rFonts w:eastAsia="Calibri"/>
              </w:rPr>
              <w:lastRenderedPageBreak/>
              <w:t xml:space="preserve">jeu dans les activités menées qu’ils mènent ou doivent mener (état lieu, trajectoire d’évolution) ? </w:t>
            </w:r>
          </w:p>
        </w:tc>
        <w:tc>
          <w:tcPr>
            <w:tcW w:w="3437" w:type="dxa"/>
            <w:tcBorders>
              <w:left w:val="single" w:sz="12" w:space="0" w:color="000000"/>
            </w:tcBorders>
            <w:shd w:val="clear" w:color="auto" w:fill="EAF1DD" w:themeFill="accent3" w:themeFillTint="33"/>
            <w:tcMar>
              <w:top w:w="100" w:type="dxa"/>
              <w:left w:w="100" w:type="dxa"/>
              <w:bottom w:w="100" w:type="dxa"/>
              <w:right w:w="100" w:type="dxa"/>
            </w:tcMar>
          </w:tcPr>
          <w:p w14:paraId="08796C07" w14:textId="0A29429F" w:rsidR="00760367" w:rsidRPr="004E2F63" w:rsidRDefault="004E2F63">
            <w:pPr>
              <w:widowControl w:val="0"/>
              <w:pBdr>
                <w:top w:val="nil"/>
                <w:left w:val="nil"/>
                <w:bottom w:val="nil"/>
                <w:right w:val="nil"/>
                <w:between w:val="nil"/>
              </w:pBdr>
              <w:spacing w:line="240" w:lineRule="auto"/>
              <w:rPr>
                <w:rFonts w:eastAsia="Calibri"/>
              </w:rPr>
            </w:pPr>
            <w:r w:rsidRPr="004E2F63">
              <w:rPr>
                <w:rFonts w:eastAsia="Calibri"/>
              </w:rPr>
              <w:lastRenderedPageBreak/>
              <w:t>Rien n’est encore explicité à ce sujet.</w:t>
            </w:r>
          </w:p>
        </w:tc>
        <w:tc>
          <w:tcPr>
            <w:tcW w:w="2977" w:type="dxa"/>
            <w:tcBorders>
              <w:right w:val="single" w:sz="12" w:space="0" w:color="000000"/>
            </w:tcBorders>
            <w:shd w:val="clear" w:color="auto" w:fill="EAF1DD" w:themeFill="accent3" w:themeFillTint="33"/>
            <w:tcMar>
              <w:top w:w="100" w:type="dxa"/>
              <w:left w:w="100" w:type="dxa"/>
              <w:bottom w:w="100" w:type="dxa"/>
              <w:right w:w="100" w:type="dxa"/>
            </w:tcMar>
          </w:tcPr>
          <w:p w14:paraId="3531ECE2" w14:textId="64431669" w:rsidR="00760367" w:rsidRPr="004E2F63" w:rsidRDefault="008958DD">
            <w:pPr>
              <w:widowControl w:val="0"/>
              <w:pBdr>
                <w:top w:val="nil"/>
                <w:left w:val="nil"/>
                <w:bottom w:val="nil"/>
                <w:right w:val="nil"/>
                <w:between w:val="nil"/>
              </w:pBdr>
              <w:spacing w:line="240" w:lineRule="auto"/>
              <w:rPr>
                <w:rFonts w:eastAsia="Calibri"/>
              </w:rPr>
            </w:pPr>
            <w:r w:rsidRPr="004E2F63">
              <w:rPr>
                <w:rFonts w:eastAsia="Calibri"/>
              </w:rPr>
              <w:t>I</w:t>
            </w:r>
            <w:r w:rsidR="00313B65" w:rsidRPr="004E2F63">
              <w:rPr>
                <w:rFonts w:eastAsia="Calibri"/>
              </w:rPr>
              <w:t xml:space="preserve">mportance au moins pour une séance d’étudier entre enseignants/formateurs concrètement comment cela est opéré ou opérable (que ce ne soit pas uniquement du registre de l’implicite). Objectif : se construire en </w:t>
            </w:r>
            <w:r w:rsidR="00313B65" w:rsidRPr="004E2F63">
              <w:rPr>
                <w:rFonts w:eastAsia="Calibri"/>
              </w:rPr>
              <w:lastRenderedPageBreak/>
              <w:t>équipe une démarche, des outils pour que les étudiants apprennent progressivement à convoquer les savoirs dans les activités qu’ils mènent. Cela ne se décrète pas et n’est pas non plus naturel</w:t>
            </w:r>
            <w:r w:rsidRPr="004E2F63">
              <w:rPr>
                <w:rFonts w:eastAsia="Calibri"/>
              </w:rPr>
              <w:t xml:space="preserve"> …</w:t>
            </w:r>
          </w:p>
        </w:tc>
        <w:tc>
          <w:tcPr>
            <w:tcW w:w="2693" w:type="dxa"/>
            <w:tcBorders>
              <w:left w:val="single" w:sz="12" w:space="0" w:color="000000"/>
            </w:tcBorders>
            <w:shd w:val="clear" w:color="auto" w:fill="F2DBDB" w:themeFill="accent2" w:themeFillTint="33"/>
            <w:tcMar>
              <w:top w:w="100" w:type="dxa"/>
              <w:left w:w="100" w:type="dxa"/>
              <w:bottom w:w="100" w:type="dxa"/>
              <w:right w:w="100" w:type="dxa"/>
            </w:tcMar>
          </w:tcPr>
          <w:p w14:paraId="5759779C" w14:textId="7599A32B" w:rsidR="00760367" w:rsidRPr="004E2F63" w:rsidRDefault="008958DD">
            <w:pPr>
              <w:widowControl w:val="0"/>
              <w:pBdr>
                <w:top w:val="nil"/>
                <w:left w:val="nil"/>
                <w:bottom w:val="nil"/>
                <w:right w:val="nil"/>
                <w:between w:val="nil"/>
              </w:pBdr>
              <w:spacing w:line="240" w:lineRule="auto"/>
              <w:rPr>
                <w:rFonts w:eastAsia="Calibri"/>
              </w:rPr>
            </w:pPr>
            <w:r w:rsidRPr="004E2F63">
              <w:rPr>
                <w:rFonts w:eastAsia="Calibri"/>
              </w:rPr>
              <w:lastRenderedPageBreak/>
              <w:t>Le</w:t>
            </w:r>
            <w:r w:rsidR="00313B65" w:rsidRPr="004E2F63">
              <w:rPr>
                <w:rFonts w:eastAsia="Calibri"/>
              </w:rPr>
              <w:t xml:space="preserve"> scénario pédagogique semble bien engagé dans ce sens</w:t>
            </w:r>
          </w:p>
        </w:tc>
        <w:tc>
          <w:tcPr>
            <w:tcW w:w="3544" w:type="dxa"/>
            <w:tcBorders>
              <w:right w:val="single" w:sz="12" w:space="0" w:color="000000"/>
            </w:tcBorders>
            <w:shd w:val="clear" w:color="auto" w:fill="F2DBDB" w:themeFill="accent2" w:themeFillTint="33"/>
            <w:tcMar>
              <w:top w:w="100" w:type="dxa"/>
              <w:left w:w="100" w:type="dxa"/>
              <w:bottom w:w="100" w:type="dxa"/>
              <w:right w:w="100" w:type="dxa"/>
            </w:tcMar>
          </w:tcPr>
          <w:p w14:paraId="1E4E8FE3" w14:textId="4B9A23D9" w:rsidR="00760367" w:rsidRPr="004E2F63" w:rsidRDefault="005E4443">
            <w:pPr>
              <w:widowControl w:val="0"/>
              <w:pBdr>
                <w:top w:val="nil"/>
                <w:left w:val="nil"/>
                <w:bottom w:val="nil"/>
                <w:right w:val="nil"/>
                <w:between w:val="nil"/>
              </w:pBdr>
              <w:spacing w:line="240" w:lineRule="auto"/>
              <w:rPr>
                <w:rFonts w:eastAsia="Calibri"/>
              </w:rPr>
            </w:pPr>
            <w:r w:rsidRPr="004E2F63">
              <w:rPr>
                <w:rFonts w:eastAsia="Calibri"/>
              </w:rPr>
              <w:t>Il est nécessaire de rendre lisible</w:t>
            </w:r>
            <w:r w:rsidR="00077B35" w:rsidRPr="004E2F63">
              <w:rPr>
                <w:rFonts w:eastAsia="Calibri"/>
              </w:rPr>
              <w:t>s</w:t>
            </w:r>
            <w:r w:rsidRPr="004E2F63">
              <w:rPr>
                <w:rFonts w:eastAsia="Calibri"/>
              </w:rPr>
              <w:t xml:space="preserve"> les savoirs en jeu par un questionnement adapté par exemple</w:t>
            </w:r>
            <w:r w:rsidR="00077B35" w:rsidRPr="004E2F63">
              <w:rPr>
                <w:rFonts w:eastAsia="Calibri"/>
              </w:rPr>
              <w:t>, de hiérarchiser ces savoirs et de travailler leur généricité (sont-ils liés à la situation ou transférables en l’état ?)</w:t>
            </w:r>
            <w:r w:rsidRPr="004E2F63">
              <w:rPr>
                <w:rFonts w:eastAsia="Calibri"/>
              </w:rPr>
              <w:t xml:space="preserve">. </w:t>
            </w:r>
          </w:p>
        </w:tc>
      </w:tr>
      <w:tr w:rsidR="00760367" w14:paraId="67D02CA5" w14:textId="77777777" w:rsidTr="00D15EF9">
        <w:tc>
          <w:tcPr>
            <w:tcW w:w="2790" w:type="dxa"/>
            <w:tcBorders>
              <w:left w:val="single" w:sz="12" w:space="0" w:color="000000"/>
              <w:bottom w:val="single" w:sz="12" w:space="0" w:color="000000"/>
              <w:right w:val="single" w:sz="12" w:space="0" w:color="000000"/>
            </w:tcBorders>
            <w:shd w:val="clear" w:color="auto" w:fill="F2F2F2" w:themeFill="background1" w:themeFillShade="F2"/>
            <w:tcMar>
              <w:top w:w="100" w:type="dxa"/>
              <w:left w:w="100" w:type="dxa"/>
              <w:bottom w:w="100" w:type="dxa"/>
              <w:right w:w="100" w:type="dxa"/>
            </w:tcMar>
          </w:tcPr>
          <w:p w14:paraId="7D5BBDBD" w14:textId="77777777" w:rsidR="002E6CED" w:rsidRPr="002E6CED" w:rsidRDefault="002E6CED" w:rsidP="002E6CED">
            <w:pPr>
              <w:widowControl w:val="0"/>
              <w:spacing w:line="258" w:lineRule="auto"/>
              <w:ind w:right="10"/>
              <w:rPr>
                <w:rFonts w:eastAsia="Calibri"/>
                <w:b/>
                <w:bCs/>
              </w:rPr>
            </w:pPr>
            <w:r w:rsidRPr="002E6CED">
              <w:rPr>
                <w:rFonts w:eastAsia="Calibri"/>
                <w:b/>
                <w:bCs/>
              </w:rPr>
              <w:t>Diversifier les situations</w:t>
            </w:r>
          </w:p>
          <w:p w14:paraId="6ABF213E" w14:textId="5C299E81" w:rsidR="00760367" w:rsidRPr="004E2F63" w:rsidRDefault="00313B65">
            <w:pPr>
              <w:widowControl w:val="0"/>
              <w:spacing w:before="160" w:line="258" w:lineRule="auto"/>
              <w:ind w:right="10"/>
              <w:rPr>
                <w:rFonts w:eastAsia="Calibri"/>
              </w:rPr>
            </w:pPr>
            <w:r w:rsidRPr="004E2F63">
              <w:rPr>
                <w:rFonts w:eastAsia="Calibri"/>
              </w:rPr>
              <w:t>Est-il donné la possibilité aux apprenants de se confronter à des situations diverses pour les préparer à la maîtrise de situations variables dans leur futur métier</w:t>
            </w:r>
            <w:r w:rsidR="008958DD" w:rsidRPr="004E2F63">
              <w:rPr>
                <w:rFonts w:eastAsia="Calibri"/>
              </w:rPr>
              <w:t> ?</w:t>
            </w:r>
          </w:p>
          <w:p w14:paraId="416B2688" w14:textId="77777777" w:rsidR="00760367" w:rsidRPr="004E2F63" w:rsidRDefault="00760367">
            <w:pPr>
              <w:widowControl w:val="0"/>
              <w:spacing w:before="160" w:line="258" w:lineRule="auto"/>
              <w:ind w:right="10"/>
              <w:rPr>
                <w:rFonts w:eastAsia="Calibri"/>
              </w:rPr>
            </w:pPr>
          </w:p>
        </w:tc>
        <w:tc>
          <w:tcPr>
            <w:tcW w:w="3437" w:type="dxa"/>
            <w:tcBorders>
              <w:left w:val="single" w:sz="12" w:space="0" w:color="000000"/>
              <w:bottom w:val="single" w:sz="12" w:space="0" w:color="000000"/>
            </w:tcBorders>
            <w:shd w:val="clear" w:color="auto" w:fill="EAF1DD" w:themeFill="accent3" w:themeFillTint="33"/>
            <w:tcMar>
              <w:top w:w="100" w:type="dxa"/>
              <w:left w:w="100" w:type="dxa"/>
              <w:bottom w:w="100" w:type="dxa"/>
              <w:right w:w="100" w:type="dxa"/>
            </w:tcMar>
          </w:tcPr>
          <w:p w14:paraId="46B21589" w14:textId="43B2A796" w:rsidR="00760367" w:rsidRPr="004E2F63" w:rsidRDefault="00313B65">
            <w:pPr>
              <w:widowControl w:val="0"/>
              <w:pBdr>
                <w:top w:val="nil"/>
                <w:left w:val="nil"/>
                <w:bottom w:val="nil"/>
                <w:right w:val="nil"/>
                <w:between w:val="nil"/>
              </w:pBdr>
              <w:spacing w:line="240" w:lineRule="auto"/>
              <w:rPr>
                <w:rFonts w:eastAsia="Calibri"/>
              </w:rPr>
            </w:pPr>
            <w:r w:rsidRPr="004E2F63">
              <w:rPr>
                <w:rFonts w:eastAsia="Calibri"/>
              </w:rPr>
              <w:t>Le scénario montre la mobilisation d’une visite initiale, des mini-stages sur l’EA de l’EPL, d’autres visites, interventions de techniciens, de l’organisation d’une journée technique, des PFMP. Cet ensemble est propice à préparer les jeunes à la maîtrise de situations variables</w:t>
            </w:r>
            <w:r w:rsidR="008958DD" w:rsidRPr="004E2F63">
              <w:rPr>
                <w:rFonts w:eastAsia="Calibri"/>
              </w:rPr>
              <w:t>.</w:t>
            </w:r>
          </w:p>
        </w:tc>
        <w:tc>
          <w:tcPr>
            <w:tcW w:w="2977" w:type="dxa"/>
            <w:tcBorders>
              <w:bottom w:val="single" w:sz="12" w:space="0" w:color="000000"/>
              <w:right w:val="single" w:sz="12" w:space="0" w:color="000000"/>
            </w:tcBorders>
            <w:shd w:val="clear" w:color="auto" w:fill="EAF1DD" w:themeFill="accent3" w:themeFillTint="33"/>
            <w:tcMar>
              <w:top w:w="100" w:type="dxa"/>
              <w:left w:w="100" w:type="dxa"/>
              <w:bottom w:w="100" w:type="dxa"/>
              <w:right w:w="100" w:type="dxa"/>
            </w:tcMar>
          </w:tcPr>
          <w:p w14:paraId="38F0F25A" w14:textId="04AF9C0C" w:rsidR="00760367" w:rsidRPr="004E2F63" w:rsidRDefault="008958DD">
            <w:pPr>
              <w:widowControl w:val="0"/>
              <w:pBdr>
                <w:top w:val="nil"/>
                <w:left w:val="nil"/>
                <w:bottom w:val="nil"/>
                <w:right w:val="nil"/>
                <w:between w:val="nil"/>
              </w:pBdr>
              <w:spacing w:line="240" w:lineRule="auto"/>
              <w:rPr>
                <w:rFonts w:eastAsia="Calibri"/>
              </w:rPr>
            </w:pPr>
            <w:r w:rsidRPr="004E2F63">
              <w:rPr>
                <w:rFonts w:eastAsia="Calibri"/>
              </w:rPr>
              <w:t>I</w:t>
            </w:r>
            <w:r w:rsidR="00313B65" w:rsidRPr="004E2F63">
              <w:rPr>
                <w:rFonts w:eastAsia="Calibri"/>
              </w:rPr>
              <w:t xml:space="preserve">l </w:t>
            </w:r>
            <w:r w:rsidR="00F423A7" w:rsidRPr="004E2F63">
              <w:rPr>
                <w:rFonts w:eastAsia="Calibri"/>
              </w:rPr>
              <w:t xml:space="preserve">serait éclairant </w:t>
            </w:r>
            <w:r w:rsidR="00313B65" w:rsidRPr="004E2F63">
              <w:rPr>
                <w:rFonts w:eastAsia="Calibri"/>
              </w:rPr>
              <w:t>de préciser le rôle concret des PFMP dans leur participation au scénario</w:t>
            </w:r>
          </w:p>
        </w:tc>
        <w:tc>
          <w:tcPr>
            <w:tcW w:w="2693" w:type="dxa"/>
            <w:tcBorders>
              <w:left w:val="single" w:sz="12" w:space="0" w:color="000000"/>
              <w:bottom w:val="single" w:sz="12" w:space="0" w:color="000000"/>
            </w:tcBorders>
            <w:shd w:val="clear" w:color="auto" w:fill="F2DBDB" w:themeFill="accent2" w:themeFillTint="33"/>
            <w:tcMar>
              <w:top w:w="100" w:type="dxa"/>
              <w:left w:w="100" w:type="dxa"/>
              <w:bottom w:w="100" w:type="dxa"/>
              <w:right w:w="100" w:type="dxa"/>
            </w:tcMar>
          </w:tcPr>
          <w:p w14:paraId="0E8E2869" w14:textId="77777777" w:rsidR="00760367" w:rsidRPr="004E2F63" w:rsidRDefault="00313B65">
            <w:pPr>
              <w:widowControl w:val="0"/>
              <w:pBdr>
                <w:top w:val="nil"/>
                <w:left w:val="nil"/>
                <w:bottom w:val="nil"/>
                <w:right w:val="nil"/>
                <w:between w:val="nil"/>
              </w:pBdr>
              <w:spacing w:line="240" w:lineRule="auto"/>
              <w:rPr>
                <w:rFonts w:eastAsia="Calibri"/>
              </w:rPr>
            </w:pPr>
            <w:r w:rsidRPr="004E2F63">
              <w:rPr>
                <w:rFonts w:eastAsia="Calibri"/>
              </w:rPr>
              <w:t xml:space="preserve">Non, cela n’apparaît pas dans le scénario présenté. </w:t>
            </w:r>
          </w:p>
        </w:tc>
        <w:tc>
          <w:tcPr>
            <w:tcW w:w="3544" w:type="dxa"/>
            <w:tcBorders>
              <w:bottom w:val="single" w:sz="12" w:space="0" w:color="000000"/>
              <w:right w:val="single" w:sz="12" w:space="0" w:color="000000"/>
            </w:tcBorders>
            <w:shd w:val="clear" w:color="auto" w:fill="F2DBDB" w:themeFill="accent2" w:themeFillTint="33"/>
            <w:tcMar>
              <w:top w:w="100" w:type="dxa"/>
              <w:left w:w="100" w:type="dxa"/>
              <w:bottom w:w="100" w:type="dxa"/>
              <w:right w:w="100" w:type="dxa"/>
            </w:tcMar>
          </w:tcPr>
          <w:p w14:paraId="7EB10315" w14:textId="77777777" w:rsidR="00760367" w:rsidRPr="004E2F63" w:rsidRDefault="00313B65">
            <w:pPr>
              <w:widowControl w:val="0"/>
              <w:pBdr>
                <w:top w:val="nil"/>
                <w:left w:val="nil"/>
                <w:bottom w:val="nil"/>
                <w:right w:val="nil"/>
                <w:between w:val="nil"/>
              </w:pBdr>
              <w:spacing w:line="240" w:lineRule="auto"/>
              <w:rPr>
                <w:rFonts w:eastAsia="Calibri"/>
              </w:rPr>
            </w:pPr>
            <w:r w:rsidRPr="004E2F63">
              <w:rPr>
                <w:rFonts w:eastAsia="Calibri"/>
              </w:rPr>
              <w:t>A mettre en lien avec une thématique plus globale : comment sécuriser son résultat d’exploitation dans un contexte en transition en tenant compte de l’évolution des   attentes sociétales</w:t>
            </w:r>
          </w:p>
        </w:tc>
      </w:tr>
    </w:tbl>
    <w:p w14:paraId="384DA510" w14:textId="77777777" w:rsidR="00760367" w:rsidRDefault="00760367">
      <w:pPr>
        <w:widowControl w:val="0"/>
        <w:spacing w:before="160" w:line="258" w:lineRule="auto"/>
        <w:ind w:right="10"/>
        <w:rPr>
          <w:rFonts w:ascii="Calibri" w:eastAsia="Calibri" w:hAnsi="Calibri" w:cs="Calibri"/>
          <w:sz w:val="24"/>
          <w:szCs w:val="24"/>
        </w:rPr>
      </w:pPr>
    </w:p>
    <w:p w14:paraId="15C2189A" w14:textId="77777777" w:rsidR="00760367" w:rsidRDefault="00760367">
      <w:pPr>
        <w:widowControl w:val="0"/>
        <w:spacing w:before="160" w:line="258" w:lineRule="auto"/>
        <w:ind w:right="10"/>
        <w:rPr>
          <w:sz w:val="24"/>
          <w:szCs w:val="24"/>
        </w:rPr>
      </w:pPr>
    </w:p>
    <w:p w14:paraId="260DEBF4" w14:textId="77777777" w:rsidR="00760367" w:rsidRDefault="00760367">
      <w:pPr>
        <w:rPr>
          <w:sz w:val="24"/>
          <w:szCs w:val="24"/>
        </w:rPr>
      </w:pPr>
    </w:p>
    <w:sectPr w:rsidR="00760367" w:rsidSect="00727509">
      <w:footerReference w:type="default" r:id="rId7"/>
      <w:headerReference w:type="first" r:id="rId8"/>
      <w:pgSz w:w="16834" w:h="11909" w:orient="landscape"/>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641BD" w14:textId="77777777" w:rsidR="00BD0BFA" w:rsidRDefault="00BD0BFA" w:rsidP="00727509">
      <w:pPr>
        <w:spacing w:line="240" w:lineRule="auto"/>
      </w:pPr>
      <w:r>
        <w:separator/>
      </w:r>
    </w:p>
  </w:endnote>
  <w:endnote w:type="continuationSeparator" w:id="0">
    <w:p w14:paraId="439770E3" w14:textId="77777777" w:rsidR="00BD0BFA" w:rsidRDefault="00BD0BFA" w:rsidP="00727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286897"/>
      <w:docPartObj>
        <w:docPartGallery w:val="Page Numbers (Bottom of Page)"/>
        <w:docPartUnique/>
      </w:docPartObj>
    </w:sdtPr>
    <w:sdtEndPr>
      <w:rPr>
        <w:sz w:val="16"/>
        <w:szCs w:val="16"/>
      </w:rPr>
    </w:sdtEndPr>
    <w:sdtContent>
      <w:p w14:paraId="60BCDFB5" w14:textId="163826B7" w:rsidR="00727509" w:rsidRPr="00727509" w:rsidRDefault="00727509">
        <w:pPr>
          <w:pStyle w:val="Pieddepage"/>
          <w:rPr>
            <w:sz w:val="16"/>
            <w:szCs w:val="16"/>
          </w:rPr>
        </w:pPr>
        <w:r w:rsidRPr="00727509">
          <w:rPr>
            <w:sz w:val="16"/>
            <w:szCs w:val="16"/>
          </w:rPr>
          <w:fldChar w:fldCharType="begin"/>
        </w:r>
        <w:r w:rsidRPr="00727509">
          <w:rPr>
            <w:sz w:val="16"/>
            <w:szCs w:val="16"/>
          </w:rPr>
          <w:instrText>PAGE   \* MERGEFORMAT</w:instrText>
        </w:r>
        <w:r w:rsidRPr="00727509">
          <w:rPr>
            <w:sz w:val="16"/>
            <w:szCs w:val="16"/>
          </w:rPr>
          <w:fldChar w:fldCharType="separate"/>
        </w:r>
        <w:r w:rsidRPr="00727509">
          <w:rPr>
            <w:noProof/>
            <w:sz w:val="16"/>
            <w:szCs w:val="16"/>
            <w:lang w:val="fr-FR"/>
          </w:rPr>
          <w:t>5</w:t>
        </w:r>
        <w:r w:rsidRPr="00727509">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63127" w14:textId="77777777" w:rsidR="00BD0BFA" w:rsidRDefault="00BD0BFA" w:rsidP="00727509">
      <w:pPr>
        <w:spacing w:line="240" w:lineRule="auto"/>
      </w:pPr>
      <w:r>
        <w:separator/>
      </w:r>
    </w:p>
  </w:footnote>
  <w:footnote w:type="continuationSeparator" w:id="0">
    <w:p w14:paraId="686218EF" w14:textId="77777777" w:rsidR="00BD0BFA" w:rsidRDefault="00BD0BFA" w:rsidP="00727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65CA" w14:textId="15A45D54" w:rsidR="00727509" w:rsidRDefault="00727509">
    <w:pPr>
      <w:pStyle w:val="En-tte"/>
    </w:pPr>
    <w:r w:rsidRPr="00727509">
      <w:drawing>
        <wp:anchor distT="0" distB="0" distL="114300" distR="114300" simplePos="0" relativeHeight="251660288" behindDoc="1" locked="0" layoutInCell="1" allowOverlap="1" wp14:anchorId="3CAE23F9" wp14:editId="79EF07DA">
          <wp:simplePos x="0" y="0"/>
          <wp:positionH relativeFrom="column">
            <wp:posOffset>8435340</wp:posOffset>
          </wp:positionH>
          <wp:positionV relativeFrom="page">
            <wp:posOffset>185420</wp:posOffset>
          </wp:positionV>
          <wp:extent cx="1439545" cy="628015"/>
          <wp:effectExtent l="0" t="0" r="8255"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V_cumulus.png"/>
                  <pic:cNvPicPr/>
                </pic:nvPicPr>
                <pic:blipFill>
                  <a:blip r:embed="rId1">
                    <a:extLst>
                      <a:ext uri="{28A0092B-C50C-407E-A947-70E740481C1C}">
                        <a14:useLocalDpi xmlns:a14="http://schemas.microsoft.com/office/drawing/2010/main" val="0"/>
                      </a:ext>
                    </a:extLst>
                  </a:blip>
                  <a:stretch>
                    <a:fillRect/>
                  </a:stretch>
                </pic:blipFill>
                <pic:spPr>
                  <a:xfrm>
                    <a:off x="0" y="0"/>
                    <a:ext cx="1439545" cy="628015"/>
                  </a:xfrm>
                  <a:prstGeom prst="rect">
                    <a:avLst/>
                  </a:prstGeom>
                </pic:spPr>
              </pic:pic>
            </a:graphicData>
          </a:graphic>
          <wp14:sizeRelH relativeFrom="margin">
            <wp14:pctWidth>0</wp14:pctWidth>
          </wp14:sizeRelH>
          <wp14:sizeRelV relativeFrom="margin">
            <wp14:pctHeight>0</wp14:pctHeight>
          </wp14:sizeRelV>
        </wp:anchor>
      </w:drawing>
    </w:r>
    <w:r w:rsidRPr="00727509">
      <w:drawing>
        <wp:anchor distT="0" distB="0" distL="114300" distR="114300" simplePos="0" relativeHeight="251659264" behindDoc="1" locked="0" layoutInCell="1" allowOverlap="1" wp14:anchorId="5D7C34DE" wp14:editId="7CA9A249">
          <wp:simplePos x="0" y="0"/>
          <wp:positionH relativeFrom="column">
            <wp:posOffset>-121920</wp:posOffset>
          </wp:positionH>
          <wp:positionV relativeFrom="page">
            <wp:posOffset>185420</wp:posOffset>
          </wp:positionV>
          <wp:extent cx="1407795" cy="899795"/>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A_cartouche_RVB.jpg"/>
                  <pic:cNvPicPr/>
                </pic:nvPicPr>
                <pic:blipFill>
                  <a:blip r:embed="rId2">
                    <a:extLst>
                      <a:ext uri="{28A0092B-C50C-407E-A947-70E740481C1C}">
                        <a14:useLocalDpi xmlns:a14="http://schemas.microsoft.com/office/drawing/2010/main" val="0"/>
                      </a:ext>
                    </a:extLst>
                  </a:blip>
                  <a:stretch>
                    <a:fillRect/>
                  </a:stretch>
                </pic:blipFill>
                <pic:spPr>
                  <a:xfrm>
                    <a:off x="0" y="0"/>
                    <a:ext cx="1407795"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93E16"/>
    <w:multiLevelType w:val="multilevel"/>
    <w:tmpl w:val="2A80E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67"/>
    <w:rsid w:val="0007364B"/>
    <w:rsid w:val="00077B35"/>
    <w:rsid w:val="00293D52"/>
    <w:rsid w:val="002E6CED"/>
    <w:rsid w:val="00313B65"/>
    <w:rsid w:val="003234B6"/>
    <w:rsid w:val="004324D3"/>
    <w:rsid w:val="004A6101"/>
    <w:rsid w:val="004E2F63"/>
    <w:rsid w:val="00501837"/>
    <w:rsid w:val="005E4443"/>
    <w:rsid w:val="00727509"/>
    <w:rsid w:val="00760367"/>
    <w:rsid w:val="008958DD"/>
    <w:rsid w:val="009E6214"/>
    <w:rsid w:val="00A429A3"/>
    <w:rsid w:val="00B71597"/>
    <w:rsid w:val="00BD0BFA"/>
    <w:rsid w:val="00D15EF9"/>
    <w:rsid w:val="00E20502"/>
    <w:rsid w:val="00F42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933C"/>
  <w15:docId w15:val="{94B2DB58-3CE0-460E-AB54-9741489E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8DD"/>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727509"/>
    <w:pPr>
      <w:tabs>
        <w:tab w:val="center" w:pos="4536"/>
        <w:tab w:val="right" w:pos="9072"/>
      </w:tabs>
      <w:spacing w:line="240" w:lineRule="auto"/>
    </w:pPr>
  </w:style>
  <w:style w:type="character" w:customStyle="1" w:styleId="En-tteCar">
    <w:name w:val="En-tête Car"/>
    <w:basedOn w:val="Policepardfaut"/>
    <w:link w:val="En-tte"/>
    <w:uiPriority w:val="99"/>
    <w:rsid w:val="00727509"/>
  </w:style>
  <w:style w:type="paragraph" w:styleId="Pieddepage">
    <w:name w:val="footer"/>
    <w:basedOn w:val="Normal"/>
    <w:link w:val="PieddepageCar"/>
    <w:uiPriority w:val="99"/>
    <w:unhideWhenUsed/>
    <w:rsid w:val="00727509"/>
    <w:pPr>
      <w:tabs>
        <w:tab w:val="center" w:pos="4536"/>
        <w:tab w:val="right" w:pos="9072"/>
      </w:tabs>
      <w:spacing w:line="240" w:lineRule="auto"/>
    </w:pPr>
  </w:style>
  <w:style w:type="character" w:customStyle="1" w:styleId="PieddepageCar">
    <w:name w:val="Pied de page Car"/>
    <w:basedOn w:val="Policepardfaut"/>
    <w:link w:val="Pieddepage"/>
    <w:uiPriority w:val="99"/>
    <w:rsid w:val="0072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1493</Words>
  <Characters>8213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SAINT-AUBERT</dc:creator>
  <cp:lastModifiedBy>ROUSSEAU Frederique</cp:lastModifiedBy>
  <cp:revision>2</cp:revision>
  <dcterms:created xsi:type="dcterms:W3CDTF">2025-04-14T19:56:00Z</dcterms:created>
  <dcterms:modified xsi:type="dcterms:W3CDTF">2025-04-14T19:56:00Z</dcterms:modified>
</cp:coreProperties>
</file>