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C269" w14:textId="6FD36E08" w:rsidR="000B01A4" w:rsidRPr="005E70AB" w:rsidRDefault="005E70AB">
      <w:pPr>
        <w:rPr>
          <w:b/>
          <w:bCs/>
          <w:sz w:val="28"/>
          <w:szCs w:val="28"/>
        </w:rPr>
      </w:pPr>
      <w:r w:rsidRPr="005E70AB">
        <w:rPr>
          <w:b/>
          <w:bCs/>
          <w:sz w:val="28"/>
          <w:szCs w:val="28"/>
        </w:rPr>
        <w:t>Grille d’analyse de scénario</w:t>
      </w:r>
      <w:r w:rsidR="00790FAA" w:rsidRPr="005E70AB">
        <w:rPr>
          <w:b/>
          <w:bCs/>
          <w:sz w:val="28"/>
          <w:szCs w:val="28"/>
        </w:rPr>
        <w:t xml:space="preserve"> pédagogique valorisant une situation professionnelle</w:t>
      </w:r>
    </w:p>
    <w:p w14:paraId="0A0CFEE4" w14:textId="77777777" w:rsidR="000B01A4" w:rsidRDefault="000B01A4"/>
    <w:p w14:paraId="2F9B1745" w14:textId="77777777" w:rsidR="000B01A4" w:rsidRPr="0023011F" w:rsidRDefault="005E70AB">
      <w:pPr>
        <w:rPr>
          <w:b/>
          <w:sz w:val="24"/>
          <w:szCs w:val="24"/>
        </w:rPr>
      </w:pPr>
      <w:r w:rsidRPr="0023011F">
        <w:rPr>
          <w:b/>
          <w:sz w:val="24"/>
          <w:szCs w:val="24"/>
        </w:rPr>
        <w:t xml:space="preserve">La situation professionnelle est-elle apprenante ? </w:t>
      </w:r>
    </w:p>
    <w:p w14:paraId="6BD86C82" w14:textId="28B178C3" w:rsidR="000B01A4" w:rsidRPr="0023011F" w:rsidRDefault="005E70AB">
      <w:pPr>
        <w:rPr>
          <w:b/>
          <w:sz w:val="24"/>
          <w:szCs w:val="24"/>
        </w:rPr>
      </w:pPr>
      <w:r w:rsidRPr="0023011F">
        <w:rPr>
          <w:b/>
          <w:sz w:val="24"/>
          <w:szCs w:val="24"/>
        </w:rPr>
        <w:t xml:space="preserve">Quelles sont les différentes caractéristiques de la SP à </w:t>
      </w:r>
      <w:r w:rsidR="0023011F" w:rsidRPr="0023011F">
        <w:rPr>
          <w:b/>
          <w:sz w:val="24"/>
          <w:szCs w:val="24"/>
        </w:rPr>
        <w:t>interroger pour</w:t>
      </w:r>
      <w:r w:rsidRPr="0023011F">
        <w:rPr>
          <w:b/>
          <w:sz w:val="24"/>
          <w:szCs w:val="24"/>
        </w:rPr>
        <w:t xml:space="preserve"> s’assurer qu’elle soit apprenante ? </w:t>
      </w:r>
    </w:p>
    <w:p w14:paraId="5815D33A" w14:textId="77777777" w:rsidR="000B01A4" w:rsidRDefault="000B01A4"/>
    <w:tbl>
      <w:tblPr>
        <w:tblStyle w:val="a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44"/>
        <w:gridCol w:w="8930"/>
      </w:tblGrid>
      <w:tr w:rsidR="0023011F" w14:paraId="60FCD9C3" w14:textId="2FB752DD" w:rsidTr="005E70A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3AAD" w14:textId="67C0712A" w:rsidR="0023011F" w:rsidRPr="0023011F" w:rsidRDefault="00230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  <w:highlight w:val="white"/>
              </w:rPr>
            </w:pPr>
            <w:r w:rsidRPr="0023011F">
              <w:rPr>
                <w:b/>
                <w:bCs/>
                <w:sz w:val="24"/>
                <w:szCs w:val="24"/>
                <w:highlight w:val="white"/>
              </w:rPr>
              <w:t xml:space="preserve"> Paramètres à interroger</w:t>
            </w:r>
          </w:p>
        </w:tc>
        <w:tc>
          <w:tcPr>
            <w:tcW w:w="8930" w:type="dxa"/>
          </w:tcPr>
          <w:p w14:paraId="26F2C2F3" w14:textId="7767E513" w:rsidR="0023011F" w:rsidRDefault="00230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Oui / non               commentaires / observation </w:t>
            </w:r>
          </w:p>
        </w:tc>
      </w:tr>
      <w:tr w:rsidR="0023011F" w14:paraId="086B8F23" w14:textId="4A2DB5E0" w:rsidTr="005E70A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DC6C" w14:textId="77777777" w:rsidR="002F69DE" w:rsidRPr="004E2F63" w:rsidRDefault="002F69DE" w:rsidP="002F69DE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004E2F63">
              <w:rPr>
                <w:rFonts w:eastAsia="Calibri"/>
                <w:b/>
                <w:bCs/>
              </w:rPr>
              <w:t>Explorer plusieurs échelles</w:t>
            </w:r>
          </w:p>
          <w:p w14:paraId="5F3B0A12" w14:textId="0612CD5E" w:rsidR="0023011F" w:rsidRDefault="002F69DE" w:rsidP="002F69DE">
            <w:pPr>
              <w:widowControl w:val="0"/>
              <w:spacing w:line="240" w:lineRule="auto"/>
            </w:pPr>
            <w:r w:rsidRPr="004E2F63">
              <w:rPr>
                <w:rFonts w:eastAsia="Calibri"/>
              </w:rPr>
              <w:t>La situation professionnelle permet-elle de questionner plusieurs échelles/focales (problématiser) suivant une vision systémique ?</w:t>
            </w:r>
          </w:p>
        </w:tc>
        <w:tc>
          <w:tcPr>
            <w:tcW w:w="8930" w:type="dxa"/>
          </w:tcPr>
          <w:p w14:paraId="56A724CC" w14:textId="77777777" w:rsidR="0023011F" w:rsidRDefault="0023011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011F" w14:paraId="6F790F64" w14:textId="653B7874" w:rsidTr="005E70A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953D" w14:textId="77777777" w:rsidR="002F69DE" w:rsidRPr="004E2F63" w:rsidRDefault="002F69DE" w:rsidP="002F69DE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004E2F63">
              <w:rPr>
                <w:rFonts w:eastAsia="Calibri"/>
                <w:b/>
                <w:bCs/>
              </w:rPr>
              <w:t>Valoriser le potentiel de la situation en équipe</w:t>
            </w:r>
          </w:p>
          <w:p w14:paraId="519F4E0E" w14:textId="54C1EEAD" w:rsidR="0023011F" w:rsidRPr="002F69DE" w:rsidRDefault="002F69DE">
            <w:pPr>
              <w:widowControl w:val="0"/>
              <w:spacing w:line="240" w:lineRule="auto"/>
              <w:rPr>
                <w:b/>
                <w:bCs/>
              </w:rPr>
            </w:pPr>
            <w:r w:rsidRPr="004E2F63">
              <w:rPr>
                <w:rFonts w:eastAsia="Calibri"/>
              </w:rPr>
              <w:t>Le potentiel de la situation (certification, apprentissage, remobilisation, sensibilisation) est-il pleinement valorisé en équipe ? (Sans chercher à multiplier les situations)</w:t>
            </w:r>
          </w:p>
        </w:tc>
        <w:tc>
          <w:tcPr>
            <w:tcW w:w="8930" w:type="dxa"/>
          </w:tcPr>
          <w:p w14:paraId="3588EBE2" w14:textId="77777777" w:rsidR="0023011F" w:rsidRDefault="0023011F">
            <w:pPr>
              <w:widowControl w:val="0"/>
              <w:spacing w:line="240" w:lineRule="auto"/>
            </w:pPr>
          </w:p>
        </w:tc>
      </w:tr>
      <w:tr w:rsidR="0023011F" w14:paraId="5B8BA47B" w14:textId="60CE0C99" w:rsidTr="005E70A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06EEF" w14:textId="789705AE" w:rsidR="0023011F" w:rsidRPr="002F69DE" w:rsidRDefault="002F69DE">
            <w:pPr>
              <w:widowControl w:val="0"/>
              <w:spacing w:line="240" w:lineRule="auto"/>
              <w:rPr>
                <w:rFonts w:eastAsia="Calibri"/>
              </w:rPr>
            </w:pPr>
            <w:r w:rsidRPr="004E2F63">
              <w:rPr>
                <w:rFonts w:eastAsia="Calibri"/>
                <w:b/>
                <w:bCs/>
              </w:rPr>
              <w:t>La capitalisation des situations</w:t>
            </w:r>
            <w:r w:rsidRPr="004E2F63">
              <w:rPr>
                <w:rFonts w:eastAsia="Calibri"/>
              </w:rPr>
              <w:t>, c’est-à-dire, le repérage des savoirs en jeu et le ciblage des objectifs d’apprentissage potentiels, est-elle pensée en amont ?</w:t>
            </w:r>
            <w:r>
              <w:rPr>
                <w:rFonts w:eastAsia="Calibri"/>
              </w:rPr>
              <w:t xml:space="preserve"> (Anticiper les traces écrites)</w:t>
            </w:r>
          </w:p>
        </w:tc>
        <w:tc>
          <w:tcPr>
            <w:tcW w:w="8930" w:type="dxa"/>
          </w:tcPr>
          <w:p w14:paraId="5BC63F11" w14:textId="77777777" w:rsidR="0023011F" w:rsidRDefault="0023011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011F" w14:paraId="16F1E1CA" w14:textId="5F6E682F" w:rsidTr="005E70A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AE1C" w14:textId="77777777" w:rsidR="002F69DE" w:rsidRPr="004E2F63" w:rsidRDefault="002F69DE" w:rsidP="002F69DE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004E2F63">
              <w:rPr>
                <w:rFonts w:eastAsia="Calibri"/>
                <w:b/>
                <w:bCs/>
              </w:rPr>
              <w:t>Envisager le transfert des savoirs</w:t>
            </w:r>
          </w:p>
          <w:p w14:paraId="1B18C674" w14:textId="41F9F171" w:rsidR="0023011F" w:rsidRDefault="002F69DE" w:rsidP="002F69D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E2F63">
              <w:rPr>
                <w:rFonts w:eastAsia="Calibri"/>
              </w:rPr>
              <w:t xml:space="preserve">L’institutionnalisation des savoirs en envisageant leur transfert (invariants, savoirs liés à la situation) est-elle pensée et organisée ? </w:t>
            </w:r>
            <w:r w:rsidR="0023011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14:paraId="299FBA54" w14:textId="77777777" w:rsidR="0023011F" w:rsidRDefault="0023011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011F" w14:paraId="19B7726B" w14:textId="6FBBE787" w:rsidTr="005E70A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C1C0" w14:textId="77777777" w:rsidR="002F69DE" w:rsidRPr="004E2F63" w:rsidRDefault="002F69DE" w:rsidP="002F69DE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004E2F63">
              <w:rPr>
                <w:rFonts w:eastAsia="Calibri"/>
                <w:b/>
                <w:bCs/>
              </w:rPr>
              <w:t>Explorer l’interdisciplinarité</w:t>
            </w:r>
          </w:p>
          <w:p w14:paraId="586FCA17" w14:textId="7782E7A4" w:rsidR="0023011F" w:rsidRDefault="002F69DE" w:rsidP="002F69DE">
            <w:pPr>
              <w:widowControl w:val="0"/>
              <w:spacing w:line="240" w:lineRule="auto"/>
            </w:pPr>
            <w:r w:rsidRPr="004E2F63">
              <w:rPr>
                <w:rFonts w:eastAsia="Calibri"/>
              </w:rPr>
              <w:t>L’interdisciplinarité est-elle intégrée dans la stratégie pédagogique ?</w:t>
            </w:r>
          </w:p>
        </w:tc>
        <w:tc>
          <w:tcPr>
            <w:tcW w:w="8930" w:type="dxa"/>
          </w:tcPr>
          <w:p w14:paraId="16AE1D08" w14:textId="77777777" w:rsidR="0023011F" w:rsidRDefault="0023011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011F" w14:paraId="4074BC64" w14:textId="309C8078" w:rsidTr="005E70A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3F89" w14:textId="77777777" w:rsidR="002F69DE" w:rsidRPr="004E2F63" w:rsidRDefault="002F69DE" w:rsidP="002F69DE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004E2F63">
              <w:rPr>
                <w:rFonts w:eastAsia="Calibri"/>
                <w:b/>
                <w:bCs/>
              </w:rPr>
              <w:t>Se permettre de faire de la situation un fil rouge de la formation</w:t>
            </w:r>
          </w:p>
          <w:p w14:paraId="68C15DB0" w14:textId="779E6D72" w:rsidR="0023011F" w:rsidRPr="002F69DE" w:rsidRDefault="002F69DE" w:rsidP="002F69DE">
            <w:pPr>
              <w:widowControl w:val="0"/>
              <w:spacing w:line="240" w:lineRule="auto"/>
              <w:rPr>
                <w:rFonts w:eastAsia="Calibri"/>
              </w:rPr>
            </w:pPr>
            <w:r w:rsidRPr="004E2F63">
              <w:rPr>
                <w:rFonts w:eastAsia="Calibri"/>
              </w:rPr>
              <w:t xml:space="preserve">La situation professionnelle peut-elle être valorisée sur </w:t>
            </w:r>
            <w:r w:rsidRPr="004E2F63">
              <w:rPr>
                <w:rFonts w:eastAsia="Calibri"/>
              </w:rPr>
              <w:lastRenderedPageBreak/>
              <w:t>plusieurs semestres ? (</w:t>
            </w:r>
            <w:r>
              <w:rPr>
                <w:rFonts w:eastAsia="Calibri"/>
              </w:rPr>
              <w:t>P</w:t>
            </w:r>
            <w:r w:rsidRPr="004E2F63">
              <w:rPr>
                <w:rFonts w:eastAsia="Calibri"/>
              </w:rPr>
              <w:t xml:space="preserve">ossible à condition de penser en amont la capitalisation à l’échelle de l’intégralité de la formation) </w:t>
            </w:r>
          </w:p>
        </w:tc>
        <w:tc>
          <w:tcPr>
            <w:tcW w:w="8930" w:type="dxa"/>
          </w:tcPr>
          <w:p w14:paraId="7EF936C9" w14:textId="77777777" w:rsidR="0023011F" w:rsidRDefault="0023011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900A82A" w14:textId="794007DB" w:rsidR="00B57376" w:rsidRDefault="00B57376" w:rsidP="005E70AB">
      <w:pPr>
        <w:rPr>
          <w:rFonts w:ascii="Calibri" w:eastAsia="Calibri" w:hAnsi="Calibri" w:cs="Calibri"/>
          <w:b/>
          <w:sz w:val="24"/>
          <w:szCs w:val="24"/>
        </w:rPr>
      </w:pPr>
    </w:p>
    <w:sectPr w:rsidR="00B57376" w:rsidSect="00B57376">
      <w:pgSz w:w="16834" w:h="11909" w:orient="landscape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7C00"/>
    <w:multiLevelType w:val="multilevel"/>
    <w:tmpl w:val="C0BA29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A4"/>
    <w:rsid w:val="000B01A4"/>
    <w:rsid w:val="0023011F"/>
    <w:rsid w:val="002301C4"/>
    <w:rsid w:val="002F69DE"/>
    <w:rsid w:val="00481111"/>
    <w:rsid w:val="005E70AB"/>
    <w:rsid w:val="00790FAA"/>
    <w:rsid w:val="008233A6"/>
    <w:rsid w:val="00B57376"/>
    <w:rsid w:val="00DB1C19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2358"/>
  <w15:docId w15:val="{94B2DB58-3CE0-460E-AB54-9741489E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3A6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8A0F-D864-4010-B9FC-C2E5F59A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Pujos</dc:creator>
  <cp:lastModifiedBy>PATRICE ROBIN</cp:lastModifiedBy>
  <cp:revision>2</cp:revision>
  <dcterms:created xsi:type="dcterms:W3CDTF">2025-05-05T08:53:00Z</dcterms:created>
  <dcterms:modified xsi:type="dcterms:W3CDTF">2025-05-05T08:53:00Z</dcterms:modified>
</cp:coreProperties>
</file>